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EDE5" w14:textId="722274D4" w:rsidR="00E278CF" w:rsidRDefault="00E278CF" w:rsidP="00E278CF">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竞争性磋商</w:t>
      </w:r>
      <w:bookmarkEnd w:id="0"/>
      <w:bookmarkEnd w:id="1"/>
      <w:r>
        <w:rPr>
          <w:rFonts w:ascii="宋体" w:hAnsi="宋体" w:hint="eastAsia"/>
          <w:sz w:val="36"/>
          <w:szCs w:val="36"/>
        </w:rPr>
        <w:t>公告</w:t>
      </w:r>
    </w:p>
    <w:bookmarkEnd w:id="2"/>
    <w:p w14:paraId="636C5004" w14:textId="77777777" w:rsidR="00E278CF" w:rsidRDefault="00E278CF" w:rsidP="00E278CF">
      <w:pPr>
        <w:rPr>
          <w:rFonts w:ascii="宋体" w:hAnsi="宋体"/>
        </w:rPr>
      </w:pPr>
    </w:p>
    <w:p w14:paraId="4D46A3E3" w14:textId="77777777" w:rsidR="00E278CF" w:rsidRDefault="00E278CF" w:rsidP="00E278CF">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2A0A0DAA" w14:textId="77777777" w:rsidR="00E278CF" w:rsidRDefault="00E278CF" w:rsidP="00E278CF">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D839CA">
        <w:rPr>
          <w:rFonts w:ascii="宋体" w:hAnsi="宋体" w:cs="宋体" w:hint="eastAsia"/>
          <w:color w:val="000000"/>
          <w:sz w:val="24"/>
          <w:szCs w:val="24"/>
          <w:u w:val="single"/>
        </w:rPr>
        <w:t>铸造起重机智能控制系统硬件材料购置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年4月2日下午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5EBAF033" w14:textId="77777777" w:rsidR="00E278CF" w:rsidRPr="00F82E72"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449DAC45"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6FE6A170"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w:t>
      </w:r>
      <w:r>
        <w:rPr>
          <w:rFonts w:ascii="宋体" w:hAnsi="宋体" w:cs="宋体"/>
          <w:color w:val="000000"/>
          <w:sz w:val="24"/>
          <w:szCs w:val="24"/>
        </w:rPr>
        <w:t>04</w:t>
      </w:r>
    </w:p>
    <w:p w14:paraId="7DCC45BD" w14:textId="77777777" w:rsidR="00E278CF" w:rsidRPr="00635643"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u w:val="single"/>
        </w:rPr>
      </w:pPr>
      <w:r w:rsidRPr="00D839CA">
        <w:rPr>
          <w:rFonts w:ascii="宋体" w:hAnsi="宋体" w:cs="宋体" w:hint="eastAsia"/>
          <w:color w:val="000000"/>
          <w:sz w:val="24"/>
          <w:szCs w:val="24"/>
        </w:rPr>
        <w:t>项目名称：</w:t>
      </w:r>
      <w:r w:rsidRPr="00D839CA">
        <w:rPr>
          <w:rFonts w:ascii="宋体" w:hAnsi="宋体" w:cs="宋体" w:hint="eastAsia"/>
          <w:color w:val="000000"/>
          <w:sz w:val="24"/>
          <w:szCs w:val="24"/>
          <w:u w:val="single"/>
        </w:rPr>
        <w:t>铸造起重机智能控制系统硬件材料购置</w:t>
      </w:r>
    </w:p>
    <w:p w14:paraId="209C4DD6"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2762CD0E"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w:t>
      </w:r>
      <w:r>
        <w:rPr>
          <w:rFonts w:ascii="宋体" w:hAnsi="宋体" w:cs="宋体"/>
          <w:color w:val="000000"/>
          <w:sz w:val="24"/>
          <w:szCs w:val="24"/>
        </w:rPr>
        <w:t>65</w:t>
      </w:r>
      <w:r>
        <w:rPr>
          <w:rFonts w:ascii="宋体" w:hAnsi="宋体" w:cs="宋体" w:hint="eastAsia"/>
          <w:color w:val="000000"/>
          <w:sz w:val="24"/>
          <w:szCs w:val="24"/>
        </w:rPr>
        <w:t>万元</w:t>
      </w:r>
      <w:r>
        <w:rPr>
          <w:rFonts w:ascii="宋体" w:hAnsi="宋体" w:cs="宋体"/>
          <w:color w:val="000000"/>
          <w:sz w:val="24"/>
          <w:szCs w:val="24"/>
        </w:rPr>
        <w:t xml:space="preserve"> </w:t>
      </w:r>
    </w:p>
    <w:p w14:paraId="14616269"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77092531"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34E4BAD8"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p>
    <w:tbl>
      <w:tblPr>
        <w:tblStyle w:val="a3"/>
        <w:tblW w:w="5000" w:type="pct"/>
        <w:tblLook w:val="04A0" w:firstRow="1" w:lastRow="0" w:firstColumn="1" w:lastColumn="0" w:noHBand="0" w:noVBand="1"/>
      </w:tblPr>
      <w:tblGrid>
        <w:gridCol w:w="1776"/>
        <w:gridCol w:w="2908"/>
        <w:gridCol w:w="1875"/>
        <w:gridCol w:w="1737"/>
      </w:tblGrid>
      <w:tr w:rsidR="00E278CF" w14:paraId="5237105A" w14:textId="77777777" w:rsidTr="00950EB6">
        <w:tc>
          <w:tcPr>
            <w:tcW w:w="1070" w:type="pct"/>
          </w:tcPr>
          <w:p w14:paraId="45E0B5A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序号</w:t>
            </w:r>
          </w:p>
        </w:tc>
        <w:tc>
          <w:tcPr>
            <w:tcW w:w="1752" w:type="pct"/>
          </w:tcPr>
          <w:p w14:paraId="58A4AE1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采购</w:t>
            </w:r>
            <w:r>
              <w:rPr>
                <w:rFonts w:ascii="宋体" w:hAnsi="宋体" w:cs="宋体" w:hint="eastAsia"/>
                <w:color w:val="000000"/>
                <w:sz w:val="24"/>
              </w:rPr>
              <w:t>货物</w:t>
            </w:r>
            <w:r w:rsidRPr="0049351F">
              <w:rPr>
                <w:rFonts w:ascii="宋体" w:hAnsi="宋体" w:cs="宋体" w:hint="eastAsia"/>
                <w:color w:val="000000"/>
                <w:sz w:val="24"/>
              </w:rPr>
              <w:t>名称</w:t>
            </w:r>
          </w:p>
        </w:tc>
        <w:tc>
          <w:tcPr>
            <w:tcW w:w="1130" w:type="pct"/>
            <w:vAlign w:val="center"/>
          </w:tcPr>
          <w:p w14:paraId="40B68E1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9F2666">
              <w:rPr>
                <w:rFonts w:ascii="宋体" w:hAnsi="宋体" w:cs="宋体" w:hint="eastAsia"/>
                <w:color w:val="000000"/>
                <w:sz w:val="24"/>
              </w:rPr>
              <w:t>数量（</w:t>
            </w:r>
            <w:proofErr w:type="gramStart"/>
            <w:r w:rsidRPr="009F2666">
              <w:rPr>
                <w:rFonts w:ascii="宋体" w:hAnsi="宋体" w:cs="宋体" w:hint="eastAsia"/>
                <w:color w:val="000000"/>
                <w:sz w:val="24"/>
              </w:rPr>
              <w:t>个</w:t>
            </w:r>
            <w:proofErr w:type="gramEnd"/>
            <w:r w:rsidRPr="009F2666">
              <w:rPr>
                <w:rFonts w:ascii="宋体" w:hAnsi="宋体" w:cs="宋体" w:hint="eastAsia"/>
                <w:color w:val="000000"/>
                <w:sz w:val="24"/>
              </w:rPr>
              <w:t>）</w:t>
            </w:r>
          </w:p>
        </w:tc>
        <w:tc>
          <w:tcPr>
            <w:tcW w:w="1047" w:type="pct"/>
            <w:vAlign w:val="center"/>
          </w:tcPr>
          <w:p w14:paraId="36756F2E"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sidRPr="00D019C8">
              <w:rPr>
                <w:rFonts w:ascii="宋体" w:hAnsi="宋体" w:cs="宋体" w:hint="eastAsia"/>
                <w:color w:val="000000"/>
                <w:sz w:val="24"/>
              </w:rPr>
              <w:t>预算金额（万元）</w:t>
            </w:r>
          </w:p>
        </w:tc>
      </w:tr>
      <w:tr w:rsidR="00E278CF" w14:paraId="1FAC920A" w14:textId="77777777" w:rsidTr="00950EB6">
        <w:tc>
          <w:tcPr>
            <w:tcW w:w="1070" w:type="pct"/>
          </w:tcPr>
          <w:p w14:paraId="257B21F7"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p>
        </w:tc>
        <w:tc>
          <w:tcPr>
            <w:tcW w:w="1752" w:type="pct"/>
            <w:vAlign w:val="center"/>
          </w:tcPr>
          <w:p w14:paraId="7FD2CF5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光纤光栅应变传感器</w:t>
            </w:r>
          </w:p>
        </w:tc>
        <w:tc>
          <w:tcPr>
            <w:tcW w:w="1130" w:type="pct"/>
            <w:vAlign w:val="center"/>
          </w:tcPr>
          <w:p w14:paraId="5568B81C"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20</w:t>
            </w:r>
          </w:p>
        </w:tc>
        <w:tc>
          <w:tcPr>
            <w:tcW w:w="1047" w:type="pct"/>
          </w:tcPr>
          <w:p w14:paraId="2D6BE7E9"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1.6</w:t>
            </w:r>
          </w:p>
        </w:tc>
      </w:tr>
      <w:tr w:rsidR="00E278CF" w14:paraId="1E64C493" w14:textId="77777777" w:rsidTr="00950EB6">
        <w:tc>
          <w:tcPr>
            <w:tcW w:w="1070" w:type="pct"/>
          </w:tcPr>
          <w:p w14:paraId="3A6B4C8B"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p>
        </w:tc>
        <w:tc>
          <w:tcPr>
            <w:tcW w:w="1752" w:type="pct"/>
            <w:vAlign w:val="center"/>
          </w:tcPr>
          <w:p w14:paraId="4164523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光纤光栅温度传感器</w:t>
            </w:r>
          </w:p>
        </w:tc>
        <w:tc>
          <w:tcPr>
            <w:tcW w:w="1130" w:type="pct"/>
            <w:vAlign w:val="center"/>
          </w:tcPr>
          <w:p w14:paraId="40B26956"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10</w:t>
            </w:r>
          </w:p>
        </w:tc>
        <w:tc>
          <w:tcPr>
            <w:tcW w:w="1047" w:type="pct"/>
          </w:tcPr>
          <w:p w14:paraId="177FD6EB"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w:t>
            </w:r>
          </w:p>
        </w:tc>
      </w:tr>
      <w:tr w:rsidR="00E278CF" w14:paraId="6CD65548" w14:textId="77777777" w:rsidTr="00950EB6">
        <w:tc>
          <w:tcPr>
            <w:tcW w:w="1070" w:type="pct"/>
          </w:tcPr>
          <w:p w14:paraId="1AD5EEA8"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p>
        </w:tc>
        <w:tc>
          <w:tcPr>
            <w:tcW w:w="1752" w:type="pct"/>
            <w:vAlign w:val="center"/>
          </w:tcPr>
          <w:p w14:paraId="1C315FC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加速度振动传感器（通频）</w:t>
            </w:r>
          </w:p>
        </w:tc>
        <w:tc>
          <w:tcPr>
            <w:tcW w:w="1130" w:type="pct"/>
            <w:vAlign w:val="center"/>
          </w:tcPr>
          <w:p w14:paraId="2D34FAD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20</w:t>
            </w:r>
          </w:p>
        </w:tc>
        <w:tc>
          <w:tcPr>
            <w:tcW w:w="1047" w:type="pct"/>
          </w:tcPr>
          <w:p w14:paraId="6488BD62"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1.9</w:t>
            </w:r>
          </w:p>
        </w:tc>
      </w:tr>
      <w:tr w:rsidR="00E278CF" w14:paraId="59D3E534" w14:textId="77777777" w:rsidTr="00950EB6">
        <w:tc>
          <w:tcPr>
            <w:tcW w:w="1070" w:type="pct"/>
          </w:tcPr>
          <w:p w14:paraId="75928E95"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4</w:t>
            </w:r>
          </w:p>
        </w:tc>
        <w:tc>
          <w:tcPr>
            <w:tcW w:w="1752" w:type="pct"/>
            <w:vAlign w:val="center"/>
          </w:tcPr>
          <w:p w14:paraId="1274EBD5"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加速度振动传感器（低频）</w:t>
            </w:r>
          </w:p>
        </w:tc>
        <w:tc>
          <w:tcPr>
            <w:tcW w:w="1130" w:type="pct"/>
            <w:vAlign w:val="center"/>
          </w:tcPr>
          <w:p w14:paraId="2A880E0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10</w:t>
            </w:r>
          </w:p>
        </w:tc>
        <w:tc>
          <w:tcPr>
            <w:tcW w:w="1047" w:type="pct"/>
            <w:vAlign w:val="center"/>
          </w:tcPr>
          <w:p w14:paraId="408F704C"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0.95</w:t>
            </w:r>
          </w:p>
        </w:tc>
      </w:tr>
      <w:tr w:rsidR="00E278CF" w14:paraId="24287CC3" w14:textId="77777777" w:rsidTr="00950EB6">
        <w:tc>
          <w:tcPr>
            <w:tcW w:w="1070" w:type="pct"/>
          </w:tcPr>
          <w:p w14:paraId="310CF4A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5</w:t>
            </w:r>
          </w:p>
        </w:tc>
        <w:tc>
          <w:tcPr>
            <w:tcW w:w="1752" w:type="pct"/>
            <w:vAlign w:val="center"/>
          </w:tcPr>
          <w:p w14:paraId="5913633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钢丝绳传感器</w:t>
            </w:r>
          </w:p>
        </w:tc>
        <w:tc>
          <w:tcPr>
            <w:tcW w:w="1130" w:type="pct"/>
            <w:vAlign w:val="center"/>
          </w:tcPr>
          <w:p w14:paraId="57D1408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11A5E400"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4.9</w:t>
            </w:r>
          </w:p>
        </w:tc>
      </w:tr>
      <w:tr w:rsidR="00E278CF" w14:paraId="382BB055" w14:textId="77777777" w:rsidTr="00950EB6">
        <w:tc>
          <w:tcPr>
            <w:tcW w:w="1070" w:type="pct"/>
          </w:tcPr>
          <w:p w14:paraId="4047177C"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6</w:t>
            </w:r>
          </w:p>
        </w:tc>
        <w:tc>
          <w:tcPr>
            <w:tcW w:w="1752" w:type="pct"/>
            <w:vAlign w:val="center"/>
          </w:tcPr>
          <w:p w14:paraId="025CD74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起升高度限位器</w:t>
            </w:r>
          </w:p>
        </w:tc>
        <w:tc>
          <w:tcPr>
            <w:tcW w:w="1130" w:type="pct"/>
            <w:vAlign w:val="center"/>
          </w:tcPr>
          <w:p w14:paraId="3EBC63F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3</w:t>
            </w:r>
          </w:p>
        </w:tc>
        <w:tc>
          <w:tcPr>
            <w:tcW w:w="1047" w:type="pct"/>
          </w:tcPr>
          <w:p w14:paraId="5C54B189"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0.3</w:t>
            </w:r>
          </w:p>
        </w:tc>
      </w:tr>
      <w:tr w:rsidR="00E278CF" w14:paraId="3D3F2E46" w14:textId="77777777" w:rsidTr="00950EB6">
        <w:tc>
          <w:tcPr>
            <w:tcW w:w="1070" w:type="pct"/>
          </w:tcPr>
          <w:p w14:paraId="7F18855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7</w:t>
            </w:r>
          </w:p>
        </w:tc>
        <w:tc>
          <w:tcPr>
            <w:tcW w:w="1752" w:type="pct"/>
            <w:vAlign w:val="center"/>
          </w:tcPr>
          <w:p w14:paraId="6AC154D7"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编码器</w:t>
            </w:r>
          </w:p>
        </w:tc>
        <w:tc>
          <w:tcPr>
            <w:tcW w:w="1130" w:type="pct"/>
            <w:vAlign w:val="center"/>
          </w:tcPr>
          <w:p w14:paraId="15E0B95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6</w:t>
            </w:r>
          </w:p>
        </w:tc>
        <w:tc>
          <w:tcPr>
            <w:tcW w:w="1047" w:type="pct"/>
          </w:tcPr>
          <w:p w14:paraId="6931F98B"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1.5</w:t>
            </w:r>
          </w:p>
        </w:tc>
      </w:tr>
      <w:tr w:rsidR="00E278CF" w14:paraId="138EBBB5" w14:textId="77777777" w:rsidTr="00950EB6">
        <w:tc>
          <w:tcPr>
            <w:tcW w:w="1070" w:type="pct"/>
          </w:tcPr>
          <w:p w14:paraId="3BDF1908"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8</w:t>
            </w:r>
          </w:p>
        </w:tc>
        <w:tc>
          <w:tcPr>
            <w:tcW w:w="1752" w:type="pct"/>
            <w:vAlign w:val="center"/>
          </w:tcPr>
          <w:p w14:paraId="78D02D6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摄像头</w:t>
            </w:r>
          </w:p>
        </w:tc>
        <w:tc>
          <w:tcPr>
            <w:tcW w:w="1130" w:type="pct"/>
            <w:vAlign w:val="center"/>
          </w:tcPr>
          <w:p w14:paraId="656BD9E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10</w:t>
            </w:r>
          </w:p>
        </w:tc>
        <w:tc>
          <w:tcPr>
            <w:tcW w:w="1047" w:type="pct"/>
          </w:tcPr>
          <w:p w14:paraId="759295EE"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4</w:t>
            </w:r>
          </w:p>
        </w:tc>
      </w:tr>
      <w:tr w:rsidR="00E278CF" w14:paraId="3DD75D0E" w14:textId="77777777" w:rsidTr="00950EB6">
        <w:tc>
          <w:tcPr>
            <w:tcW w:w="1070" w:type="pct"/>
          </w:tcPr>
          <w:p w14:paraId="65C3C62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lastRenderedPageBreak/>
              <w:t>9</w:t>
            </w:r>
          </w:p>
        </w:tc>
        <w:tc>
          <w:tcPr>
            <w:tcW w:w="1752" w:type="pct"/>
            <w:vAlign w:val="center"/>
          </w:tcPr>
          <w:p w14:paraId="22949C6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全向AP</w:t>
            </w:r>
          </w:p>
        </w:tc>
        <w:tc>
          <w:tcPr>
            <w:tcW w:w="1130" w:type="pct"/>
            <w:vAlign w:val="center"/>
          </w:tcPr>
          <w:p w14:paraId="3A401E8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4</w:t>
            </w:r>
          </w:p>
        </w:tc>
        <w:tc>
          <w:tcPr>
            <w:tcW w:w="1047" w:type="pct"/>
          </w:tcPr>
          <w:p w14:paraId="48DF694C"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1.04</w:t>
            </w:r>
          </w:p>
        </w:tc>
      </w:tr>
      <w:tr w:rsidR="00E278CF" w14:paraId="0A75BC49" w14:textId="77777777" w:rsidTr="00950EB6">
        <w:tc>
          <w:tcPr>
            <w:tcW w:w="1070" w:type="pct"/>
          </w:tcPr>
          <w:p w14:paraId="0A19B0C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0</w:t>
            </w:r>
          </w:p>
        </w:tc>
        <w:tc>
          <w:tcPr>
            <w:tcW w:w="1752" w:type="pct"/>
            <w:vAlign w:val="center"/>
          </w:tcPr>
          <w:p w14:paraId="169EF80B"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定向AP</w:t>
            </w:r>
          </w:p>
        </w:tc>
        <w:tc>
          <w:tcPr>
            <w:tcW w:w="1130" w:type="pct"/>
            <w:vAlign w:val="center"/>
          </w:tcPr>
          <w:p w14:paraId="6B9E713F"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386B6105"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0.48</w:t>
            </w:r>
          </w:p>
        </w:tc>
      </w:tr>
      <w:tr w:rsidR="00E278CF" w14:paraId="17AB0F79" w14:textId="77777777" w:rsidTr="00950EB6">
        <w:tc>
          <w:tcPr>
            <w:tcW w:w="1070" w:type="pct"/>
          </w:tcPr>
          <w:p w14:paraId="61C4EA39"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1</w:t>
            </w:r>
          </w:p>
        </w:tc>
        <w:tc>
          <w:tcPr>
            <w:tcW w:w="1752" w:type="pct"/>
            <w:vAlign w:val="center"/>
          </w:tcPr>
          <w:p w14:paraId="5A5A854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AC</w:t>
            </w:r>
          </w:p>
        </w:tc>
        <w:tc>
          <w:tcPr>
            <w:tcW w:w="1130" w:type="pct"/>
            <w:vAlign w:val="center"/>
          </w:tcPr>
          <w:p w14:paraId="5DB7658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5FBE03F7"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w:t>
            </w:r>
          </w:p>
        </w:tc>
      </w:tr>
      <w:tr w:rsidR="00E278CF" w14:paraId="26DF6B95" w14:textId="77777777" w:rsidTr="00950EB6">
        <w:tc>
          <w:tcPr>
            <w:tcW w:w="1070" w:type="pct"/>
          </w:tcPr>
          <w:p w14:paraId="187D4849"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2</w:t>
            </w:r>
          </w:p>
        </w:tc>
        <w:tc>
          <w:tcPr>
            <w:tcW w:w="1752" w:type="pct"/>
            <w:vAlign w:val="center"/>
          </w:tcPr>
          <w:p w14:paraId="194ADC4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POE交换机</w:t>
            </w:r>
          </w:p>
        </w:tc>
        <w:tc>
          <w:tcPr>
            <w:tcW w:w="1130" w:type="pct"/>
            <w:vAlign w:val="center"/>
          </w:tcPr>
          <w:p w14:paraId="67F08B3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7</w:t>
            </w:r>
          </w:p>
        </w:tc>
        <w:tc>
          <w:tcPr>
            <w:tcW w:w="1047" w:type="pct"/>
          </w:tcPr>
          <w:p w14:paraId="121ABD5E"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1.05</w:t>
            </w:r>
          </w:p>
        </w:tc>
      </w:tr>
      <w:tr w:rsidR="00E278CF" w14:paraId="659FC1BD" w14:textId="77777777" w:rsidTr="00950EB6">
        <w:tc>
          <w:tcPr>
            <w:tcW w:w="1070" w:type="pct"/>
          </w:tcPr>
          <w:p w14:paraId="642F01F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3</w:t>
            </w:r>
          </w:p>
        </w:tc>
        <w:tc>
          <w:tcPr>
            <w:tcW w:w="1752" w:type="pct"/>
            <w:vAlign w:val="center"/>
          </w:tcPr>
          <w:p w14:paraId="7A6ACAC6"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光模块</w:t>
            </w:r>
          </w:p>
        </w:tc>
        <w:tc>
          <w:tcPr>
            <w:tcW w:w="1130" w:type="pct"/>
            <w:vAlign w:val="center"/>
          </w:tcPr>
          <w:p w14:paraId="6DF205A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14</w:t>
            </w:r>
          </w:p>
        </w:tc>
        <w:tc>
          <w:tcPr>
            <w:tcW w:w="1047" w:type="pct"/>
          </w:tcPr>
          <w:p w14:paraId="78D02EC9"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0.28</w:t>
            </w:r>
          </w:p>
        </w:tc>
      </w:tr>
      <w:tr w:rsidR="00E278CF" w14:paraId="376D1A78" w14:textId="77777777" w:rsidTr="00950EB6">
        <w:tc>
          <w:tcPr>
            <w:tcW w:w="1070" w:type="pct"/>
          </w:tcPr>
          <w:p w14:paraId="3CD85F1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4</w:t>
            </w:r>
          </w:p>
        </w:tc>
        <w:tc>
          <w:tcPr>
            <w:tcW w:w="1752" w:type="pct"/>
            <w:vAlign w:val="center"/>
          </w:tcPr>
          <w:p w14:paraId="53C45FE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核心交换机</w:t>
            </w:r>
          </w:p>
        </w:tc>
        <w:tc>
          <w:tcPr>
            <w:tcW w:w="1130" w:type="pct"/>
            <w:vAlign w:val="center"/>
          </w:tcPr>
          <w:p w14:paraId="2FA0E2E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4A2CE57F"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w:t>
            </w:r>
          </w:p>
        </w:tc>
      </w:tr>
      <w:tr w:rsidR="00E278CF" w14:paraId="5D6D8ADB" w14:textId="77777777" w:rsidTr="00950EB6">
        <w:tc>
          <w:tcPr>
            <w:tcW w:w="1070" w:type="pct"/>
          </w:tcPr>
          <w:p w14:paraId="6F9D458F"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5</w:t>
            </w:r>
          </w:p>
        </w:tc>
        <w:tc>
          <w:tcPr>
            <w:tcW w:w="1752" w:type="pct"/>
            <w:vAlign w:val="center"/>
          </w:tcPr>
          <w:p w14:paraId="7F82623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光纤光栅解调模块</w:t>
            </w:r>
          </w:p>
        </w:tc>
        <w:tc>
          <w:tcPr>
            <w:tcW w:w="1130" w:type="pct"/>
            <w:vAlign w:val="center"/>
          </w:tcPr>
          <w:p w14:paraId="47FF3ED6"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261A63A5"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9.8</w:t>
            </w:r>
          </w:p>
        </w:tc>
      </w:tr>
      <w:tr w:rsidR="00E278CF" w14:paraId="320972F0" w14:textId="77777777" w:rsidTr="00950EB6">
        <w:tc>
          <w:tcPr>
            <w:tcW w:w="1070" w:type="pct"/>
          </w:tcPr>
          <w:p w14:paraId="4E74CC3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6</w:t>
            </w:r>
          </w:p>
        </w:tc>
        <w:tc>
          <w:tcPr>
            <w:tcW w:w="1752" w:type="pct"/>
            <w:vAlign w:val="center"/>
          </w:tcPr>
          <w:p w14:paraId="71CA95CB"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振动采集模块</w:t>
            </w:r>
          </w:p>
        </w:tc>
        <w:tc>
          <w:tcPr>
            <w:tcW w:w="1130" w:type="pct"/>
            <w:vAlign w:val="center"/>
          </w:tcPr>
          <w:p w14:paraId="03E181B7"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7D39EB6B"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3.6</w:t>
            </w:r>
          </w:p>
        </w:tc>
      </w:tr>
      <w:tr w:rsidR="00E278CF" w14:paraId="2A552808" w14:textId="77777777" w:rsidTr="00950EB6">
        <w:tc>
          <w:tcPr>
            <w:tcW w:w="1070" w:type="pct"/>
          </w:tcPr>
          <w:p w14:paraId="2F8B3FD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7</w:t>
            </w:r>
          </w:p>
        </w:tc>
        <w:tc>
          <w:tcPr>
            <w:tcW w:w="1752" w:type="pct"/>
            <w:vAlign w:val="center"/>
          </w:tcPr>
          <w:p w14:paraId="0C1C44F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钢丝绳采集模块</w:t>
            </w:r>
          </w:p>
        </w:tc>
        <w:tc>
          <w:tcPr>
            <w:tcW w:w="1130" w:type="pct"/>
            <w:vAlign w:val="center"/>
          </w:tcPr>
          <w:p w14:paraId="338D896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57DBE7B6"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10</w:t>
            </w:r>
          </w:p>
        </w:tc>
      </w:tr>
      <w:tr w:rsidR="00E278CF" w14:paraId="64A66D85" w14:textId="77777777" w:rsidTr="00950EB6">
        <w:tc>
          <w:tcPr>
            <w:tcW w:w="1070" w:type="pct"/>
          </w:tcPr>
          <w:p w14:paraId="1FED788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8</w:t>
            </w:r>
          </w:p>
        </w:tc>
        <w:tc>
          <w:tcPr>
            <w:tcW w:w="1752" w:type="pct"/>
            <w:vAlign w:val="center"/>
          </w:tcPr>
          <w:p w14:paraId="743485D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硬盘录像机</w:t>
            </w:r>
          </w:p>
        </w:tc>
        <w:tc>
          <w:tcPr>
            <w:tcW w:w="1130" w:type="pct"/>
            <w:vAlign w:val="center"/>
          </w:tcPr>
          <w:p w14:paraId="1DFE691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44113EE3"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w:t>
            </w:r>
          </w:p>
        </w:tc>
      </w:tr>
      <w:tr w:rsidR="00E278CF" w14:paraId="01363EB6" w14:textId="77777777" w:rsidTr="00950EB6">
        <w:tc>
          <w:tcPr>
            <w:tcW w:w="1070" w:type="pct"/>
          </w:tcPr>
          <w:p w14:paraId="5FC46619"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9</w:t>
            </w:r>
          </w:p>
        </w:tc>
        <w:tc>
          <w:tcPr>
            <w:tcW w:w="1752" w:type="pct"/>
            <w:vAlign w:val="center"/>
          </w:tcPr>
          <w:p w14:paraId="0C8DC4AC"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工控机（采集）</w:t>
            </w:r>
          </w:p>
        </w:tc>
        <w:tc>
          <w:tcPr>
            <w:tcW w:w="1130" w:type="pct"/>
            <w:vAlign w:val="center"/>
          </w:tcPr>
          <w:p w14:paraId="35BEAA1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6E8F0EC3"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1.8</w:t>
            </w:r>
          </w:p>
        </w:tc>
      </w:tr>
      <w:tr w:rsidR="00E278CF" w14:paraId="61ED922B" w14:textId="77777777" w:rsidTr="00950EB6">
        <w:tc>
          <w:tcPr>
            <w:tcW w:w="1070" w:type="pct"/>
          </w:tcPr>
          <w:p w14:paraId="191086F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0</w:t>
            </w:r>
          </w:p>
        </w:tc>
        <w:tc>
          <w:tcPr>
            <w:tcW w:w="1752" w:type="pct"/>
            <w:vAlign w:val="center"/>
          </w:tcPr>
          <w:p w14:paraId="2A156F38"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工控机（平台）</w:t>
            </w:r>
          </w:p>
        </w:tc>
        <w:tc>
          <w:tcPr>
            <w:tcW w:w="1130" w:type="pct"/>
            <w:vAlign w:val="center"/>
          </w:tcPr>
          <w:p w14:paraId="1358880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46666997"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3.2</w:t>
            </w:r>
          </w:p>
        </w:tc>
      </w:tr>
      <w:tr w:rsidR="00E278CF" w14:paraId="2A182DC2" w14:textId="77777777" w:rsidTr="00950EB6">
        <w:tc>
          <w:tcPr>
            <w:tcW w:w="1070" w:type="pct"/>
          </w:tcPr>
          <w:p w14:paraId="720D68B7"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1</w:t>
            </w:r>
          </w:p>
        </w:tc>
        <w:tc>
          <w:tcPr>
            <w:tcW w:w="1752" w:type="pct"/>
            <w:vAlign w:val="center"/>
          </w:tcPr>
          <w:p w14:paraId="0777204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PLC电源</w:t>
            </w:r>
          </w:p>
        </w:tc>
        <w:tc>
          <w:tcPr>
            <w:tcW w:w="1130" w:type="pct"/>
            <w:vAlign w:val="center"/>
          </w:tcPr>
          <w:p w14:paraId="001F128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43157AE3"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0.18</w:t>
            </w:r>
          </w:p>
        </w:tc>
      </w:tr>
      <w:tr w:rsidR="00E278CF" w14:paraId="05910323" w14:textId="77777777" w:rsidTr="00950EB6">
        <w:tc>
          <w:tcPr>
            <w:tcW w:w="1070" w:type="pct"/>
          </w:tcPr>
          <w:p w14:paraId="7CA044C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color w:val="000000"/>
                <w:sz w:val="24"/>
                <w:szCs w:val="24"/>
              </w:rPr>
              <w:t>22</w:t>
            </w:r>
          </w:p>
        </w:tc>
        <w:tc>
          <w:tcPr>
            <w:tcW w:w="1752" w:type="pct"/>
            <w:vAlign w:val="center"/>
          </w:tcPr>
          <w:p w14:paraId="2B7BE70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PLC S7</w:t>
            </w:r>
          </w:p>
        </w:tc>
        <w:tc>
          <w:tcPr>
            <w:tcW w:w="1130" w:type="pct"/>
            <w:vAlign w:val="center"/>
          </w:tcPr>
          <w:p w14:paraId="4B59E15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52258CA2"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w:t>
            </w:r>
          </w:p>
        </w:tc>
      </w:tr>
      <w:tr w:rsidR="00E278CF" w14:paraId="01D05AD3" w14:textId="77777777" w:rsidTr="00950EB6">
        <w:tc>
          <w:tcPr>
            <w:tcW w:w="1070" w:type="pct"/>
          </w:tcPr>
          <w:p w14:paraId="273218D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color w:val="000000"/>
                <w:sz w:val="24"/>
                <w:szCs w:val="24"/>
              </w:rPr>
              <w:t>23</w:t>
            </w:r>
          </w:p>
        </w:tc>
        <w:tc>
          <w:tcPr>
            <w:tcW w:w="1752" w:type="pct"/>
            <w:vAlign w:val="center"/>
          </w:tcPr>
          <w:p w14:paraId="47F0337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PROFINET交换机</w:t>
            </w:r>
          </w:p>
        </w:tc>
        <w:tc>
          <w:tcPr>
            <w:tcW w:w="1130" w:type="pct"/>
            <w:vAlign w:val="center"/>
          </w:tcPr>
          <w:p w14:paraId="64F2647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3</w:t>
            </w:r>
          </w:p>
        </w:tc>
        <w:tc>
          <w:tcPr>
            <w:tcW w:w="1047" w:type="pct"/>
          </w:tcPr>
          <w:p w14:paraId="42062BF0"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0.42</w:t>
            </w:r>
          </w:p>
        </w:tc>
      </w:tr>
      <w:tr w:rsidR="00E278CF" w14:paraId="3EBFD565" w14:textId="77777777" w:rsidTr="00950EB6">
        <w:tc>
          <w:tcPr>
            <w:tcW w:w="1070" w:type="pct"/>
          </w:tcPr>
          <w:p w14:paraId="313912D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4</w:t>
            </w:r>
          </w:p>
        </w:tc>
        <w:tc>
          <w:tcPr>
            <w:tcW w:w="1752" w:type="pct"/>
            <w:vAlign w:val="center"/>
          </w:tcPr>
          <w:p w14:paraId="75939E5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交换机</w:t>
            </w:r>
          </w:p>
        </w:tc>
        <w:tc>
          <w:tcPr>
            <w:tcW w:w="1130" w:type="pct"/>
            <w:vAlign w:val="center"/>
          </w:tcPr>
          <w:p w14:paraId="3B2D515C"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2</w:t>
            </w:r>
          </w:p>
        </w:tc>
        <w:tc>
          <w:tcPr>
            <w:tcW w:w="1047" w:type="pct"/>
          </w:tcPr>
          <w:p w14:paraId="5496F848"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0.28</w:t>
            </w:r>
          </w:p>
        </w:tc>
      </w:tr>
      <w:tr w:rsidR="00E278CF" w14:paraId="28ABBD3C" w14:textId="77777777" w:rsidTr="00950EB6">
        <w:tc>
          <w:tcPr>
            <w:tcW w:w="1070" w:type="pct"/>
          </w:tcPr>
          <w:p w14:paraId="606A6B77"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5</w:t>
            </w:r>
          </w:p>
        </w:tc>
        <w:tc>
          <w:tcPr>
            <w:tcW w:w="1752" w:type="pct"/>
            <w:vAlign w:val="center"/>
          </w:tcPr>
          <w:p w14:paraId="6DA9A405"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定制机柜</w:t>
            </w:r>
          </w:p>
        </w:tc>
        <w:tc>
          <w:tcPr>
            <w:tcW w:w="1130" w:type="pct"/>
            <w:vAlign w:val="center"/>
          </w:tcPr>
          <w:p w14:paraId="2006545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2DDD950C"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0.4</w:t>
            </w:r>
          </w:p>
        </w:tc>
      </w:tr>
      <w:tr w:rsidR="00E278CF" w14:paraId="653610A9" w14:textId="77777777" w:rsidTr="00950EB6">
        <w:tc>
          <w:tcPr>
            <w:tcW w:w="1070" w:type="pct"/>
          </w:tcPr>
          <w:p w14:paraId="5F877266"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6</w:t>
            </w:r>
          </w:p>
        </w:tc>
        <w:tc>
          <w:tcPr>
            <w:tcW w:w="1752" w:type="pct"/>
            <w:vAlign w:val="center"/>
          </w:tcPr>
          <w:p w14:paraId="6A3C9775"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网络机柜</w:t>
            </w:r>
          </w:p>
        </w:tc>
        <w:tc>
          <w:tcPr>
            <w:tcW w:w="1130" w:type="pct"/>
            <w:vAlign w:val="center"/>
          </w:tcPr>
          <w:p w14:paraId="318B4CA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1</w:t>
            </w:r>
          </w:p>
        </w:tc>
        <w:tc>
          <w:tcPr>
            <w:tcW w:w="1047" w:type="pct"/>
          </w:tcPr>
          <w:p w14:paraId="48079042"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0.3</w:t>
            </w:r>
          </w:p>
        </w:tc>
      </w:tr>
      <w:tr w:rsidR="00E278CF" w14:paraId="76CDE9AD" w14:textId="77777777" w:rsidTr="00950EB6">
        <w:tc>
          <w:tcPr>
            <w:tcW w:w="1070" w:type="pct"/>
          </w:tcPr>
          <w:p w14:paraId="662A17A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7</w:t>
            </w:r>
          </w:p>
        </w:tc>
        <w:tc>
          <w:tcPr>
            <w:tcW w:w="1752" w:type="pct"/>
            <w:vAlign w:val="center"/>
          </w:tcPr>
          <w:p w14:paraId="77DB6AD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PROFINET插头（10个）</w:t>
            </w:r>
          </w:p>
        </w:tc>
        <w:tc>
          <w:tcPr>
            <w:tcW w:w="1130" w:type="pct"/>
            <w:vAlign w:val="center"/>
          </w:tcPr>
          <w:p w14:paraId="379DB06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7</w:t>
            </w:r>
          </w:p>
        </w:tc>
        <w:tc>
          <w:tcPr>
            <w:tcW w:w="1047" w:type="pct"/>
          </w:tcPr>
          <w:p w14:paraId="3784A580"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0.7</w:t>
            </w:r>
          </w:p>
        </w:tc>
      </w:tr>
      <w:tr w:rsidR="00E278CF" w14:paraId="15195F62" w14:textId="77777777" w:rsidTr="00950EB6">
        <w:tc>
          <w:tcPr>
            <w:tcW w:w="1070" w:type="pct"/>
          </w:tcPr>
          <w:p w14:paraId="548A8B4E"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8</w:t>
            </w:r>
          </w:p>
        </w:tc>
        <w:tc>
          <w:tcPr>
            <w:tcW w:w="1752" w:type="pct"/>
            <w:vAlign w:val="center"/>
          </w:tcPr>
          <w:p w14:paraId="620F1A1B"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拖拽网线</w:t>
            </w:r>
          </w:p>
        </w:tc>
        <w:tc>
          <w:tcPr>
            <w:tcW w:w="1130" w:type="pct"/>
            <w:vAlign w:val="center"/>
          </w:tcPr>
          <w:p w14:paraId="786977CA"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01257580"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4</w:t>
            </w:r>
          </w:p>
        </w:tc>
      </w:tr>
      <w:tr w:rsidR="00E278CF" w14:paraId="718DBA1A" w14:textId="77777777" w:rsidTr="00950EB6">
        <w:tc>
          <w:tcPr>
            <w:tcW w:w="1070" w:type="pct"/>
          </w:tcPr>
          <w:p w14:paraId="096CE8B4"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9</w:t>
            </w:r>
          </w:p>
        </w:tc>
        <w:tc>
          <w:tcPr>
            <w:tcW w:w="1752" w:type="pct"/>
            <w:vAlign w:val="center"/>
          </w:tcPr>
          <w:p w14:paraId="322805EA"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振动传感器配套电缆</w:t>
            </w:r>
          </w:p>
        </w:tc>
        <w:tc>
          <w:tcPr>
            <w:tcW w:w="1130" w:type="pct"/>
            <w:vAlign w:val="center"/>
          </w:tcPr>
          <w:p w14:paraId="4477ACE6"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3E30CF4E"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3</w:t>
            </w:r>
          </w:p>
        </w:tc>
      </w:tr>
      <w:tr w:rsidR="00E278CF" w14:paraId="0102BCB5" w14:textId="77777777" w:rsidTr="00950EB6">
        <w:tc>
          <w:tcPr>
            <w:tcW w:w="1070" w:type="pct"/>
          </w:tcPr>
          <w:p w14:paraId="65295E52"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0</w:t>
            </w:r>
          </w:p>
        </w:tc>
        <w:tc>
          <w:tcPr>
            <w:tcW w:w="1752" w:type="pct"/>
            <w:vAlign w:val="center"/>
          </w:tcPr>
          <w:p w14:paraId="7F1458C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振动传感器底座</w:t>
            </w:r>
          </w:p>
        </w:tc>
        <w:tc>
          <w:tcPr>
            <w:tcW w:w="1130" w:type="pct"/>
            <w:vAlign w:val="center"/>
          </w:tcPr>
          <w:p w14:paraId="4A9E1D09"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30</w:t>
            </w:r>
          </w:p>
        </w:tc>
        <w:tc>
          <w:tcPr>
            <w:tcW w:w="1047" w:type="pct"/>
          </w:tcPr>
          <w:p w14:paraId="2ECCC733"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0.36</w:t>
            </w:r>
          </w:p>
        </w:tc>
      </w:tr>
      <w:tr w:rsidR="00E278CF" w14:paraId="3148871D" w14:textId="77777777" w:rsidTr="00950EB6">
        <w:tc>
          <w:tcPr>
            <w:tcW w:w="1070" w:type="pct"/>
          </w:tcPr>
          <w:p w14:paraId="610E22A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1</w:t>
            </w:r>
          </w:p>
        </w:tc>
        <w:tc>
          <w:tcPr>
            <w:tcW w:w="1752" w:type="pct"/>
            <w:vAlign w:val="center"/>
          </w:tcPr>
          <w:p w14:paraId="76552628"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定制钢丝绳传感器支架</w:t>
            </w:r>
          </w:p>
        </w:tc>
        <w:tc>
          <w:tcPr>
            <w:tcW w:w="1130" w:type="pct"/>
            <w:vAlign w:val="center"/>
          </w:tcPr>
          <w:p w14:paraId="3BA5B3A2"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5EE9254B"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0.8</w:t>
            </w:r>
          </w:p>
        </w:tc>
      </w:tr>
      <w:tr w:rsidR="00E278CF" w14:paraId="29379389" w14:textId="77777777" w:rsidTr="00950EB6">
        <w:tc>
          <w:tcPr>
            <w:tcW w:w="1070" w:type="pct"/>
          </w:tcPr>
          <w:p w14:paraId="46742758"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2</w:t>
            </w:r>
          </w:p>
        </w:tc>
        <w:tc>
          <w:tcPr>
            <w:tcW w:w="1752" w:type="pct"/>
            <w:vAlign w:val="center"/>
          </w:tcPr>
          <w:p w14:paraId="71164391"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行程辅助轮</w:t>
            </w:r>
          </w:p>
        </w:tc>
        <w:tc>
          <w:tcPr>
            <w:tcW w:w="1130" w:type="pct"/>
            <w:vAlign w:val="center"/>
          </w:tcPr>
          <w:p w14:paraId="7E2B0164"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4</w:t>
            </w:r>
          </w:p>
        </w:tc>
        <w:tc>
          <w:tcPr>
            <w:tcW w:w="1047" w:type="pct"/>
          </w:tcPr>
          <w:p w14:paraId="52E152F0"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0.16</w:t>
            </w:r>
          </w:p>
        </w:tc>
      </w:tr>
      <w:tr w:rsidR="00E278CF" w14:paraId="397F7BD7" w14:textId="77777777" w:rsidTr="00950EB6">
        <w:tc>
          <w:tcPr>
            <w:tcW w:w="1070" w:type="pct"/>
          </w:tcPr>
          <w:p w14:paraId="5423BA26"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lastRenderedPageBreak/>
              <w:t>3</w:t>
            </w:r>
            <w:r>
              <w:rPr>
                <w:rFonts w:ascii="宋体" w:hAnsi="宋体" w:cs="宋体"/>
                <w:color w:val="000000"/>
                <w:sz w:val="24"/>
                <w:szCs w:val="24"/>
              </w:rPr>
              <w:t>3</w:t>
            </w:r>
          </w:p>
        </w:tc>
        <w:tc>
          <w:tcPr>
            <w:tcW w:w="1752" w:type="pct"/>
            <w:vAlign w:val="center"/>
          </w:tcPr>
          <w:p w14:paraId="79A9134D"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动力电缆</w:t>
            </w:r>
          </w:p>
        </w:tc>
        <w:tc>
          <w:tcPr>
            <w:tcW w:w="1130" w:type="pct"/>
            <w:vAlign w:val="center"/>
          </w:tcPr>
          <w:p w14:paraId="66566675"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1BA58F84"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3</w:t>
            </w:r>
          </w:p>
        </w:tc>
      </w:tr>
      <w:tr w:rsidR="00E278CF" w14:paraId="49B2C13E" w14:textId="77777777" w:rsidTr="00950EB6">
        <w:tc>
          <w:tcPr>
            <w:tcW w:w="1070" w:type="pct"/>
          </w:tcPr>
          <w:p w14:paraId="6ABECC7B"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4</w:t>
            </w:r>
          </w:p>
        </w:tc>
        <w:tc>
          <w:tcPr>
            <w:tcW w:w="1752" w:type="pct"/>
            <w:vAlign w:val="center"/>
          </w:tcPr>
          <w:p w14:paraId="34B781AC"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单芯单模光缆</w:t>
            </w:r>
          </w:p>
        </w:tc>
        <w:tc>
          <w:tcPr>
            <w:tcW w:w="1130" w:type="pct"/>
            <w:vAlign w:val="center"/>
          </w:tcPr>
          <w:p w14:paraId="7EF6680A"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4E024F8D"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1.6</w:t>
            </w:r>
          </w:p>
        </w:tc>
      </w:tr>
      <w:tr w:rsidR="00E278CF" w14:paraId="14BDC1DE" w14:textId="77777777" w:rsidTr="00950EB6">
        <w:tc>
          <w:tcPr>
            <w:tcW w:w="1070" w:type="pct"/>
          </w:tcPr>
          <w:p w14:paraId="69AC4C60"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Pr>
                <w:rFonts w:ascii="宋体" w:hAnsi="宋体" w:cs="宋体" w:hint="eastAsia"/>
                <w:color w:val="000000"/>
                <w:sz w:val="24"/>
                <w:szCs w:val="24"/>
              </w:rPr>
              <w:t>3</w:t>
            </w:r>
            <w:r>
              <w:rPr>
                <w:rFonts w:ascii="宋体" w:hAnsi="宋体" w:cs="宋体"/>
                <w:color w:val="000000"/>
                <w:sz w:val="24"/>
                <w:szCs w:val="24"/>
              </w:rPr>
              <w:t>5</w:t>
            </w:r>
          </w:p>
        </w:tc>
        <w:tc>
          <w:tcPr>
            <w:tcW w:w="1752" w:type="pct"/>
            <w:vAlign w:val="center"/>
          </w:tcPr>
          <w:p w14:paraId="11FAEB73" w14:textId="77777777" w:rsidR="00E278C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49351F">
              <w:rPr>
                <w:rFonts w:ascii="宋体" w:hAnsi="宋体" w:cs="宋体" w:hint="eastAsia"/>
                <w:color w:val="000000"/>
                <w:sz w:val="24"/>
              </w:rPr>
              <w:t>双芯光缆</w:t>
            </w:r>
          </w:p>
        </w:tc>
        <w:tc>
          <w:tcPr>
            <w:tcW w:w="1130" w:type="pct"/>
            <w:vAlign w:val="center"/>
          </w:tcPr>
          <w:p w14:paraId="622755D2" w14:textId="77777777" w:rsidR="00E278CF" w:rsidRPr="001B080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szCs w:val="24"/>
              </w:rPr>
            </w:pPr>
            <w:r w:rsidRPr="001B080F">
              <w:rPr>
                <w:rFonts w:ascii="宋体" w:hAnsi="宋体" w:cs="宋体" w:hint="eastAsia"/>
                <w:color w:val="000000"/>
                <w:sz w:val="24"/>
              </w:rPr>
              <w:t>1</w:t>
            </w:r>
          </w:p>
        </w:tc>
        <w:tc>
          <w:tcPr>
            <w:tcW w:w="1047" w:type="pct"/>
          </w:tcPr>
          <w:p w14:paraId="1A14383A" w14:textId="77777777" w:rsidR="00E278CF" w:rsidRPr="0049351F" w:rsidRDefault="00E278CF" w:rsidP="00950EB6">
            <w:pPr>
              <w:widowControl/>
              <w:tabs>
                <w:tab w:val="left" w:pos="-360"/>
              </w:tabs>
              <w:autoSpaceDE w:val="0"/>
              <w:autoSpaceDN w:val="0"/>
              <w:adjustRightInd w:val="0"/>
              <w:snapToGrid w:val="0"/>
              <w:spacing w:beforeLines="50" w:before="156" w:line="400" w:lineRule="exact"/>
              <w:jc w:val="center"/>
              <w:textAlignment w:val="bottom"/>
              <w:rPr>
                <w:rFonts w:ascii="宋体" w:hAnsi="宋体" w:cs="宋体"/>
                <w:color w:val="000000"/>
                <w:sz w:val="24"/>
              </w:rPr>
            </w:pPr>
            <w:r>
              <w:rPr>
                <w:rFonts w:ascii="宋体" w:hAnsi="宋体" w:cs="宋体" w:hint="eastAsia"/>
                <w:color w:val="000000"/>
                <w:sz w:val="24"/>
              </w:rPr>
              <w:t>0.8</w:t>
            </w:r>
          </w:p>
        </w:tc>
      </w:tr>
    </w:tbl>
    <w:p w14:paraId="4EC32F59"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30FC5109"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5ABD88BB" w14:textId="77777777" w:rsidR="00E278CF" w:rsidRPr="009F2666"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34334C32" w14:textId="77777777" w:rsidR="00E278CF" w:rsidRPr="001C22B6"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合同履行期限：合同签订后</w:t>
      </w:r>
      <w:r w:rsidRPr="001C22B6">
        <w:rPr>
          <w:rFonts w:ascii="宋体" w:hAnsi="宋体" w:cs="宋体"/>
          <w:color w:val="000000"/>
          <w:sz w:val="24"/>
          <w:szCs w:val="24"/>
        </w:rPr>
        <w:t>2</w:t>
      </w:r>
      <w:r w:rsidRPr="001C22B6">
        <w:rPr>
          <w:rFonts w:ascii="宋体" w:hAnsi="宋体" w:cs="宋体" w:hint="eastAsia"/>
          <w:color w:val="000000"/>
          <w:sz w:val="24"/>
          <w:szCs w:val="24"/>
        </w:rPr>
        <w:t>个星期内到货。</w:t>
      </w:r>
    </w:p>
    <w:p w14:paraId="2EFEE0F9"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03097CE3"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1E08CE6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52E4341E"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17B051CC"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623EABFD" w14:textId="77777777" w:rsidR="00E278CF" w:rsidRPr="004B5303"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w:t>
      </w:r>
      <w:r w:rsidRPr="004B5303">
        <w:rPr>
          <w:rFonts w:ascii="宋体" w:hAnsi="宋体" w:cs="宋体" w:hint="eastAsia"/>
          <w:color w:val="000000"/>
          <w:sz w:val="24"/>
          <w:szCs w:val="24"/>
        </w:rPr>
        <w:t>所投产品的原产地均应来自中华人民共和国国内；</w:t>
      </w:r>
    </w:p>
    <w:p w14:paraId="1959018C"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（2）被“信用中国”网站（</w:t>
      </w:r>
      <w:hyperlink r:id="rId5"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069D1C46"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545256A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75D46CA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715A721A"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35D84B74"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年3月21日至</w:t>
      </w:r>
      <w:r>
        <w:rPr>
          <w:rFonts w:ascii="宋体" w:hAnsi="宋体" w:cs="宋体"/>
          <w:color w:val="000000"/>
          <w:sz w:val="24"/>
          <w:szCs w:val="24"/>
        </w:rPr>
        <w:t>2024</w:t>
      </w:r>
      <w:r>
        <w:rPr>
          <w:rFonts w:ascii="宋体" w:hAnsi="宋体" w:cs="宋体" w:hint="eastAsia"/>
          <w:color w:val="000000"/>
          <w:sz w:val="24"/>
          <w:szCs w:val="24"/>
        </w:rPr>
        <w:t>年3月28日（磋商文件的发售期限自开始之日起不得少于5个工作日），每天上午9：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45D36C4B" w14:textId="77777777" w:rsidR="00E278CF" w:rsidRPr="0093532B"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5AEE5A34" w14:textId="77777777" w:rsidR="00E278CF" w:rsidRDefault="00E278CF" w:rsidP="00E278CF">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05075862"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5D652C4"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0A31CE4C"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年4月2日下午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33C3E9B7"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7DE9DC7B" w14:textId="77777777" w:rsidR="00E278CF" w:rsidRDefault="00E278CF" w:rsidP="00E278CF">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0FBC5412"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年4月2日下午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46F1F3E8"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4B26DC0E"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t>六、公告期限</w:t>
      </w:r>
      <w:bookmarkEnd w:id="23"/>
      <w:bookmarkEnd w:id="24"/>
      <w:bookmarkEnd w:id="25"/>
      <w:bookmarkEnd w:id="26"/>
    </w:p>
    <w:p w14:paraId="2CD4D795"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自本公告发布之日起3个工作日。</w:t>
      </w:r>
    </w:p>
    <w:p w14:paraId="7C5F4871"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6E6B04AB"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1A9F0A6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626016F8"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1B5E0F59"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027F885A"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719E8EF4"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6ADF1190"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lastRenderedPageBreak/>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0AB1B9E0"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5F3483E4"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7CB4A089" w14:textId="77777777" w:rsidR="00E278CF" w:rsidRDefault="00E278CF" w:rsidP="00E278CF">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387F9863"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1205E81B"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07A61AF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0A664B2F"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联系方式：</w:t>
      </w:r>
      <w:proofErr w:type="gramStart"/>
      <w:r>
        <w:rPr>
          <w:rFonts w:ascii="宋体" w:hAnsi="宋体" w:cs="宋体" w:hint="eastAsia"/>
          <w:color w:val="000000"/>
          <w:sz w:val="24"/>
          <w:szCs w:val="24"/>
        </w:rPr>
        <w:t>张理京</w:t>
      </w:r>
      <w:proofErr w:type="gramEnd"/>
      <w:r>
        <w:rPr>
          <w:rFonts w:ascii="宋体" w:hAnsi="宋体" w:cs="宋体" w:hint="eastAsia"/>
          <w:color w:val="000000"/>
          <w:sz w:val="24"/>
          <w:szCs w:val="24"/>
        </w:rPr>
        <w:t xml:space="preserve"> 13520711977</w:t>
      </w:r>
    </w:p>
    <w:p w14:paraId="115EF370"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2ADCD5C"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60ABE257"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3D170BFC"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38338E00"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2CDB6C78" w14:textId="77777777" w:rsidR="00E278CF" w:rsidRDefault="00E278CF" w:rsidP="00E278CF">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br/>
        <w:t>3.项目联系方式</w:t>
      </w:r>
    </w:p>
    <w:p w14:paraId="78DD0298"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51B97A9A"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53A149AD" w14:textId="77777777" w:rsidR="00E278CF" w:rsidRDefault="00E278CF" w:rsidP="00E278CF">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6"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6D94429E" w14:textId="77777777" w:rsidR="00E278CF" w:rsidRDefault="00E278CF" w:rsidP="00E278CF"/>
    <w:p w14:paraId="7D896653" w14:textId="77777777" w:rsidR="00E278CF" w:rsidRPr="00E278CF" w:rsidRDefault="00E278CF"/>
    <w:sectPr w:rsidR="00E278CF" w:rsidRPr="00E27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132431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F"/>
    <w:rsid w:val="00E2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06C8"/>
  <w15:chartTrackingRefBased/>
  <w15:docId w15:val="{777A5FDF-6173-416A-AC3D-C74FCB30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E278CF"/>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E278CF"/>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E278CF"/>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E278CF"/>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E278C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qFormat/>
    <w:rsid w:val="00E278CF"/>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E278CF"/>
    <w:rPr>
      <w:rFonts w:ascii="Arial" w:eastAsia="黑体" w:hAnsi="Arial" w:cs="Arial"/>
      <w:sz w:val="30"/>
      <w:szCs w:val="30"/>
      <w14:ligatures w14:val="none"/>
    </w:rPr>
  </w:style>
  <w:style w:type="character" w:customStyle="1" w:styleId="40">
    <w:name w:val="标题 4 字符"/>
    <w:basedOn w:val="a0"/>
    <w:link w:val="4"/>
    <w:rsid w:val="00E278CF"/>
    <w:rPr>
      <w:rFonts w:ascii="Arial" w:eastAsia="黑体" w:hAnsi="Arial" w:cs="Arial"/>
      <w:b/>
      <w:bCs/>
      <w:sz w:val="28"/>
      <w:szCs w:val="28"/>
      <w14:ligatures w14:val="none"/>
    </w:rPr>
  </w:style>
  <w:style w:type="table" w:styleId="a3">
    <w:name w:val="Table Grid"/>
    <w:basedOn w:val="a1"/>
    <w:uiPriority w:val="99"/>
    <w:qFormat/>
    <w:rsid w:val="00E278CF"/>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样式1"/>
    <w:basedOn w:val="5"/>
    <w:qFormat/>
    <w:rsid w:val="00E278CF"/>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paragraph" w:styleId="a4">
    <w:name w:val="Body Text Indent"/>
    <w:basedOn w:val="a"/>
    <w:link w:val="a5"/>
    <w:uiPriority w:val="99"/>
    <w:semiHidden/>
    <w:unhideWhenUsed/>
    <w:rsid w:val="00E278CF"/>
    <w:pPr>
      <w:spacing w:after="120"/>
      <w:ind w:leftChars="200" w:left="420"/>
    </w:pPr>
  </w:style>
  <w:style w:type="character" w:customStyle="1" w:styleId="a5">
    <w:name w:val="正文文本缩进 字符"/>
    <w:basedOn w:val="a0"/>
    <w:link w:val="a4"/>
    <w:uiPriority w:val="99"/>
    <w:semiHidden/>
    <w:rsid w:val="00E278CF"/>
    <w:rPr>
      <w:rFonts w:ascii="Times New Roman" w:eastAsia="宋体" w:hAnsi="Times New Roman" w:cs="Times New Roman"/>
      <w:szCs w:val="21"/>
      <w14:ligatures w14:val="none"/>
    </w:rPr>
  </w:style>
  <w:style w:type="paragraph" w:styleId="20">
    <w:name w:val="Body Text First Indent 2"/>
    <w:basedOn w:val="a4"/>
    <w:link w:val="22"/>
    <w:uiPriority w:val="99"/>
    <w:semiHidden/>
    <w:unhideWhenUsed/>
    <w:rsid w:val="00E278CF"/>
    <w:pPr>
      <w:ind w:firstLineChars="200" w:firstLine="420"/>
    </w:pPr>
  </w:style>
  <w:style w:type="character" w:customStyle="1" w:styleId="22">
    <w:name w:val="正文文本首行缩进 2 字符"/>
    <w:basedOn w:val="a5"/>
    <w:link w:val="20"/>
    <w:uiPriority w:val="99"/>
    <w:semiHidden/>
    <w:rsid w:val="00E278CF"/>
    <w:rPr>
      <w:rFonts w:ascii="Times New Roman" w:eastAsia="宋体" w:hAnsi="Times New Roman" w:cs="Times New Roman"/>
      <w:szCs w:val="21"/>
      <w14:ligatures w14:val="none"/>
    </w:rPr>
  </w:style>
  <w:style w:type="character" w:customStyle="1" w:styleId="50">
    <w:name w:val="标题 5 字符"/>
    <w:basedOn w:val="a0"/>
    <w:link w:val="5"/>
    <w:uiPriority w:val="9"/>
    <w:semiHidden/>
    <w:rsid w:val="00E278CF"/>
    <w:rPr>
      <w:rFonts w:ascii="Times New Roman" w:eastAsia="宋体" w:hAnsi="Times New Roman" w:cs="Times New Roman"/>
      <w:b/>
      <w:bCs/>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jian@cnic.genertec.com.cn" TargetMode="External"/><Relationship Id="rId5" Type="http://schemas.openxmlformats.org/officeDocument/2006/relationships/hyperlink" Target="http://www.creditchina.gov.cn&#65289;&#20013;&#21015;&#20837;&#22833;&#20449;&#34987;&#25191;&#34892;&#20154;&#25110;&#21015;&#2083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2024-03-21T01:42:00Z</dcterms:created>
  <dcterms:modified xsi:type="dcterms:W3CDTF">2024-03-21T01:48:00Z</dcterms:modified>
</cp:coreProperties>
</file>