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auto"/>
        <w:jc w:val="center"/>
        <w:textAlignment w:val="baseline"/>
        <w:rPr>
          <w:rFonts w:hint="eastAsia" w:ascii="宋体" w:hAnsi="宋体" w:eastAsia="宋体" w:cs="宋体"/>
          <w:color w:val="auto"/>
          <w:sz w:val="44"/>
          <w:highlight w:val="none"/>
        </w:rPr>
      </w:pPr>
    </w:p>
    <w:p>
      <w:pPr>
        <w:rPr>
          <w:rFonts w:hint="eastAsia" w:ascii="宋体" w:hAnsi="宋体" w:eastAsia="宋体" w:cs="宋体"/>
          <w:b/>
          <w:color w:val="auto"/>
          <w:sz w:val="52"/>
          <w:highlight w:val="none"/>
        </w:rPr>
      </w:pPr>
    </w:p>
    <w:p>
      <w:pPr>
        <w:pStyle w:val="88"/>
        <w:snapToGrid w:val="0"/>
        <w:jc w:val="center"/>
        <w:textAlignment w:val="baseline"/>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赤峰市医院实验室设备检测服务采购项目</w:t>
      </w:r>
    </w:p>
    <w:p>
      <w:pPr>
        <w:pStyle w:val="88"/>
        <w:snapToGrid w:val="0"/>
        <w:textAlignment w:val="baseline"/>
        <w:rPr>
          <w:rFonts w:hint="eastAsia" w:ascii="宋体" w:hAnsi="宋体" w:eastAsia="宋体" w:cs="宋体"/>
          <w:b/>
          <w:color w:val="auto"/>
          <w:sz w:val="96"/>
          <w:highlight w:val="none"/>
        </w:rPr>
      </w:pPr>
    </w:p>
    <w:p>
      <w:pPr>
        <w:pStyle w:val="88"/>
        <w:snapToGrid w:val="0"/>
        <w:jc w:val="center"/>
        <w:textAlignment w:val="baseline"/>
        <w:rPr>
          <w:rFonts w:hint="eastAsia" w:ascii="宋体" w:hAnsi="宋体" w:eastAsia="宋体" w:cs="宋体"/>
          <w:color w:val="auto"/>
          <w:highlight w:val="none"/>
        </w:rPr>
      </w:pPr>
      <w:r>
        <w:rPr>
          <w:rFonts w:hint="eastAsia" w:ascii="宋体" w:hAnsi="宋体" w:eastAsia="宋体" w:cs="宋体"/>
          <w:b/>
          <w:color w:val="auto"/>
          <w:sz w:val="96"/>
          <w:highlight w:val="none"/>
        </w:rPr>
        <w:t>竞争性磋商文件</w:t>
      </w:r>
    </w:p>
    <w:p>
      <w:pPr>
        <w:pStyle w:val="88"/>
        <w:snapToGrid w:val="0"/>
        <w:jc w:val="center"/>
        <w:textAlignment w:val="baseline"/>
        <w:rPr>
          <w:rFonts w:hint="eastAsia" w:ascii="宋体" w:hAnsi="宋体" w:eastAsia="宋体" w:cs="宋体"/>
          <w:color w:val="auto"/>
          <w:highlight w:val="none"/>
          <w:lang w:eastAsia="zh-CN"/>
        </w:rPr>
      </w:pPr>
      <w:r>
        <w:rPr>
          <w:rFonts w:hint="eastAsia" w:ascii="宋体" w:hAnsi="宋体" w:eastAsia="宋体" w:cs="宋体"/>
          <w:b/>
          <w:color w:val="auto"/>
          <w:sz w:val="36"/>
          <w:highlight w:val="none"/>
        </w:rPr>
        <w:t>项目编号：</w:t>
      </w:r>
      <w:r>
        <w:rPr>
          <w:rFonts w:hint="eastAsia" w:ascii="宋体" w:hAnsi="宋体" w:eastAsia="宋体" w:cs="宋体"/>
          <w:b/>
          <w:color w:val="auto"/>
          <w:sz w:val="36"/>
          <w:highlight w:val="none"/>
          <w:lang w:eastAsia="zh-CN"/>
        </w:rPr>
        <w:t>23CNIC381070-90</w:t>
      </w:r>
    </w:p>
    <w:p>
      <w:pPr>
        <w:spacing w:line="640" w:lineRule="exact"/>
        <w:jc w:val="center"/>
        <w:rPr>
          <w:rFonts w:hint="eastAsia" w:ascii="宋体" w:hAnsi="宋体" w:eastAsia="宋体" w:cs="宋体"/>
          <w:b/>
          <w:color w:val="auto"/>
          <w:sz w:val="44"/>
          <w:highlight w:val="none"/>
        </w:rPr>
      </w:pPr>
    </w:p>
    <w:p>
      <w:pPr>
        <w:pStyle w:val="104"/>
        <w:spacing w:line="580" w:lineRule="exact"/>
        <w:jc w:val="center"/>
        <w:textAlignment w:val="auto"/>
        <w:rPr>
          <w:rFonts w:hint="eastAsia" w:ascii="宋体" w:hAnsi="宋体" w:eastAsia="宋体" w:cs="宋体"/>
          <w:color w:val="auto"/>
          <w:sz w:val="44"/>
          <w:highlight w:val="none"/>
        </w:rPr>
      </w:pPr>
    </w:p>
    <w:p>
      <w:pPr>
        <w:pStyle w:val="104"/>
        <w:spacing w:line="580" w:lineRule="exact"/>
        <w:jc w:val="center"/>
        <w:textAlignment w:val="auto"/>
        <w:rPr>
          <w:rFonts w:hint="eastAsia" w:ascii="宋体" w:hAnsi="宋体" w:eastAsia="宋体" w:cs="宋体"/>
          <w:color w:val="auto"/>
          <w:sz w:val="44"/>
          <w:highlight w:val="none"/>
        </w:rPr>
      </w:pPr>
    </w:p>
    <w:p>
      <w:pPr>
        <w:pStyle w:val="104"/>
        <w:spacing w:line="580" w:lineRule="exact"/>
        <w:jc w:val="center"/>
        <w:textAlignment w:val="auto"/>
        <w:rPr>
          <w:rFonts w:hint="eastAsia" w:ascii="宋体" w:hAnsi="宋体" w:eastAsia="宋体" w:cs="宋体"/>
          <w:color w:val="auto"/>
          <w:sz w:val="44"/>
          <w:highlight w:val="none"/>
        </w:rPr>
      </w:pPr>
    </w:p>
    <w:p>
      <w:pPr>
        <w:pStyle w:val="104"/>
        <w:spacing w:line="580" w:lineRule="exact"/>
        <w:textAlignment w:val="auto"/>
        <w:rPr>
          <w:rFonts w:hint="eastAsia" w:ascii="宋体" w:hAnsi="宋体" w:eastAsia="宋体" w:cs="宋体"/>
          <w:color w:val="auto"/>
          <w:sz w:val="44"/>
          <w:highlight w:val="none"/>
        </w:rPr>
      </w:pPr>
    </w:p>
    <w:p>
      <w:pPr>
        <w:pStyle w:val="104"/>
        <w:spacing w:line="580" w:lineRule="exact"/>
        <w:textAlignment w:val="auto"/>
        <w:rPr>
          <w:rFonts w:hint="eastAsia" w:ascii="宋体" w:hAnsi="宋体" w:eastAsia="宋体" w:cs="宋体"/>
          <w:color w:val="auto"/>
          <w:sz w:val="44"/>
          <w:highlight w:val="none"/>
        </w:rPr>
      </w:pPr>
    </w:p>
    <w:p>
      <w:pPr>
        <w:pStyle w:val="104"/>
        <w:spacing w:line="580" w:lineRule="exact"/>
        <w:textAlignment w:val="auto"/>
        <w:rPr>
          <w:rFonts w:hint="eastAsia" w:ascii="宋体" w:hAnsi="宋体" w:eastAsia="宋体" w:cs="宋体"/>
          <w:color w:val="auto"/>
          <w:sz w:val="44"/>
          <w:highlight w:val="none"/>
        </w:rPr>
      </w:pPr>
    </w:p>
    <w:p>
      <w:pPr>
        <w:pStyle w:val="104"/>
        <w:snapToGrid w:val="0"/>
        <w:spacing w:line="240" w:lineRule="auto"/>
        <w:textAlignment w:val="auto"/>
        <w:rPr>
          <w:rFonts w:hint="eastAsia" w:ascii="宋体" w:hAnsi="宋体" w:eastAsia="宋体" w:cs="宋体"/>
          <w:b/>
          <w:color w:val="auto"/>
          <w:sz w:val="36"/>
          <w:highlight w:val="none"/>
        </w:rPr>
      </w:pPr>
    </w:p>
    <w:p>
      <w:pPr>
        <w:pStyle w:val="104"/>
        <w:snapToGrid w:val="0"/>
        <w:spacing w:line="240" w:lineRule="auto"/>
        <w:jc w:val="center"/>
        <w:textAlignment w:val="auto"/>
        <w:rPr>
          <w:rFonts w:hint="eastAsia" w:ascii="宋体" w:hAnsi="宋体" w:eastAsia="宋体" w:cs="宋体"/>
          <w:b/>
          <w:color w:val="auto"/>
          <w:sz w:val="36"/>
          <w:highlight w:val="none"/>
        </w:rPr>
      </w:pPr>
    </w:p>
    <w:p>
      <w:pPr>
        <w:pStyle w:val="104"/>
        <w:snapToGrid w:val="0"/>
        <w:spacing w:line="240" w:lineRule="auto"/>
        <w:jc w:val="center"/>
        <w:textAlignment w:val="auto"/>
        <w:rPr>
          <w:rFonts w:hint="eastAsia" w:ascii="宋体" w:hAnsi="宋体" w:eastAsia="宋体" w:cs="宋体"/>
          <w:color w:val="auto"/>
          <w:highlight w:val="none"/>
        </w:rPr>
      </w:pPr>
      <w:r>
        <w:rPr>
          <w:rFonts w:hint="eastAsia" w:ascii="宋体" w:hAnsi="宋体" w:eastAsia="宋体" w:cs="宋体"/>
          <w:b/>
          <w:color w:val="auto"/>
          <w:sz w:val="36"/>
          <w:highlight w:val="none"/>
        </w:rPr>
        <w:t>中国仪器进出口集团有限公司</w:t>
      </w:r>
    </w:p>
    <w:p>
      <w:pPr>
        <w:pStyle w:val="104"/>
        <w:snapToGrid w:val="0"/>
        <w:spacing w:line="240" w:lineRule="auto"/>
        <w:jc w:val="center"/>
        <w:textAlignment w:val="auto"/>
        <w:rPr>
          <w:rFonts w:hint="eastAsia" w:ascii="宋体" w:hAnsi="宋体" w:eastAsia="宋体" w:cs="宋体"/>
          <w:color w:val="auto"/>
          <w:highlight w:val="none"/>
        </w:rPr>
        <w:sectPr>
          <w:headerReference r:id="rId3" w:type="first"/>
          <w:footerReference r:id="rId5" w:type="first"/>
          <w:footerReference r:id="rId4" w:type="default"/>
          <w:pgSz w:w="11906" w:h="16838"/>
          <w:pgMar w:top="1134" w:right="1134" w:bottom="1134" w:left="1134" w:header="851" w:footer="992" w:gutter="0"/>
          <w:cols w:space="720" w:num="1"/>
          <w:docGrid w:type="lines" w:linePitch="312" w:charSpace="0"/>
        </w:sectPr>
      </w:pPr>
      <w:r>
        <w:rPr>
          <w:rFonts w:hint="eastAsia" w:ascii="宋体" w:hAnsi="宋体" w:eastAsia="宋体" w:cs="宋体"/>
          <w:b/>
          <w:color w:val="auto"/>
          <w:sz w:val="36"/>
          <w:highlight w:val="none"/>
        </w:rPr>
        <w:t>202</w:t>
      </w:r>
      <w:r>
        <w:rPr>
          <w:rFonts w:hint="eastAsia" w:ascii="宋体" w:hAnsi="宋体" w:eastAsia="宋体" w:cs="宋体"/>
          <w:b/>
          <w:color w:val="auto"/>
          <w:sz w:val="36"/>
          <w:highlight w:val="none"/>
          <w:lang w:val="en-US" w:eastAsia="zh-CN"/>
        </w:rPr>
        <w:t>3</w:t>
      </w:r>
      <w:r>
        <w:rPr>
          <w:rFonts w:hint="eastAsia" w:ascii="宋体" w:hAnsi="宋体" w:eastAsia="宋体" w:cs="宋体"/>
          <w:b/>
          <w:color w:val="auto"/>
          <w:sz w:val="36"/>
          <w:highlight w:val="none"/>
        </w:rPr>
        <w:t>年</w:t>
      </w:r>
      <w:r>
        <w:rPr>
          <w:rFonts w:hint="eastAsia" w:cs="宋体"/>
          <w:b/>
          <w:color w:val="auto"/>
          <w:sz w:val="36"/>
          <w:highlight w:val="none"/>
          <w:lang w:val="en-US" w:eastAsia="zh-CN"/>
        </w:rPr>
        <w:t>9</w:t>
      </w:r>
      <w:r>
        <w:rPr>
          <w:rFonts w:hint="eastAsia" w:ascii="宋体" w:hAnsi="宋体" w:eastAsia="宋体" w:cs="宋体"/>
          <w:b/>
          <w:color w:val="auto"/>
          <w:sz w:val="36"/>
          <w:highlight w:val="none"/>
        </w:rPr>
        <w:t>月</w:t>
      </w:r>
    </w:p>
    <w:p>
      <w:pPr>
        <w:pStyle w:val="104"/>
        <w:snapToGrid w:val="0"/>
        <w:spacing w:line="240" w:lineRule="auto"/>
        <w:jc w:val="center"/>
        <w:textAlignment w:val="auto"/>
        <w:rPr>
          <w:rFonts w:hint="eastAsia" w:ascii="宋体" w:hAnsi="宋体" w:eastAsia="宋体" w:cs="宋体"/>
          <w:b/>
          <w:color w:val="auto"/>
          <w:sz w:val="36"/>
          <w:highlight w:val="none"/>
        </w:rPr>
      </w:pPr>
    </w:p>
    <w:p>
      <w:pPr>
        <w:pStyle w:val="56"/>
        <w:spacing w:line="400" w:lineRule="exact"/>
        <w:ind w:left="3360" w:firstLine="181"/>
        <w:rPr>
          <w:rFonts w:hint="eastAsia" w:ascii="宋体" w:hAnsi="宋体" w:eastAsia="宋体" w:cs="宋体"/>
          <w:color w:val="auto"/>
          <w:highlight w:val="none"/>
        </w:rPr>
      </w:pPr>
      <w:r>
        <w:rPr>
          <w:rFonts w:hint="eastAsia" w:ascii="宋体" w:hAnsi="宋体" w:eastAsia="宋体" w:cs="宋体"/>
          <w:b/>
          <w:color w:val="auto"/>
          <w:sz w:val="36"/>
          <w:highlight w:val="none"/>
        </w:rPr>
        <w:t>目    录</w:t>
      </w:r>
    </w:p>
    <w:p>
      <w:pPr>
        <w:rPr>
          <w:rFonts w:hint="eastAsia" w:ascii="宋体" w:hAnsi="宋体" w:eastAsia="宋体" w:cs="宋体"/>
          <w:color w:val="auto"/>
          <w:highlight w:val="none"/>
        </w:rPr>
      </w:pPr>
    </w:p>
    <w:p>
      <w:pPr>
        <w:pStyle w:val="21"/>
        <w:tabs>
          <w:tab w:val="right" w:leader="dot" w:pos="9070"/>
        </w:tabs>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\z \o "1-2" \u \h</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"_Toc4307"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第一章 磋商邀请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_Toc4307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tabs>
          <w:tab w:val="right" w:leader="dot" w:pos="907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"_Toc30851"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第二章 供应商须知及资料表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_Toc30851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3"/>
        <w:tabs>
          <w:tab w:val="right" w:leader="dot" w:pos="907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"_Toc19948"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第一部分 供应商须知资料表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_Toc19948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3"/>
        <w:tabs>
          <w:tab w:val="right" w:leader="dot" w:pos="907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"_Toc11508"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第二部分 评分细则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_Toc11508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3"/>
        <w:tabs>
          <w:tab w:val="right" w:leader="dot" w:pos="907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"_Toc9216"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第三部分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_Toc9216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3"/>
        <w:tabs>
          <w:tab w:val="right" w:leader="dot" w:pos="907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"_Toc11422"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一、说明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_Toc11422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3"/>
        <w:tabs>
          <w:tab w:val="right" w:leader="dot" w:pos="907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"_Toc2800"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二、磋商文件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_Toc2800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3"/>
        <w:tabs>
          <w:tab w:val="right" w:leader="dot" w:pos="907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"_Toc809"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三、响应文件的编制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3"/>
        <w:tabs>
          <w:tab w:val="right" w:leader="dot" w:pos="907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"_Toc11745"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四、响应文件的递交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_Toc11745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3"/>
        <w:tabs>
          <w:tab w:val="right" w:leader="dot" w:pos="907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"_Toc19644"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五、评审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_Toc19644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3"/>
        <w:tabs>
          <w:tab w:val="right" w:leader="dot" w:pos="907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"_Toc18324"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六、授予合同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_Toc18324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tabs>
          <w:tab w:val="right" w:leader="dot" w:pos="907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"_Toc29570"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第三章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_Toc29570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3"/>
        <w:tabs>
          <w:tab w:val="right" w:leader="dot" w:pos="907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"_Toc29256"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第一节 响应文件第一部分--资格文件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_Toc29256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3"/>
        <w:tabs>
          <w:tab w:val="right" w:leader="dot" w:pos="907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"_Toc9844"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▲附件1.1 响应函格式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_Toc9844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3"/>
        <w:tabs>
          <w:tab w:val="right" w:leader="dot" w:pos="907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"_Toc4068"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▲附件1.2 法定代表人授权书格式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_Toc4068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3"/>
        <w:tabs>
          <w:tab w:val="right" w:leader="dot" w:pos="907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"_Toc15213"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▲附件1.3 交纳采购代理服务费承诺函格式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_Toc15213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3"/>
        <w:tabs>
          <w:tab w:val="right" w:leader="dot" w:pos="907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"_Toc21562"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▲附件1.4 参加本次采购活动前三年内在经营活动中没有重大违法记录的声明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_Toc21562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3"/>
        <w:tabs>
          <w:tab w:val="right" w:leader="dot" w:pos="907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"_Toc32457"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▲附件1.5 具有独立承担民事责任能力的证明文件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_Toc32457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3"/>
        <w:tabs>
          <w:tab w:val="right" w:leader="dot" w:pos="907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"_Toc2726"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▲附件1.6 依法缴纳税收和社会保障资金记录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_Toc2726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3"/>
        <w:tabs>
          <w:tab w:val="right" w:leader="dot" w:pos="907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"_Toc17702"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▲附件1.7 审计报告或银行资信证明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3"/>
        <w:tabs>
          <w:tab w:val="right" w:leader="dot" w:pos="907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"_Toc14672"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▲附件1.8“信用中国”、“中国政府采购网”网站查询结果承诺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_Toc14672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3"/>
        <w:tabs>
          <w:tab w:val="right" w:leader="dot" w:pos="907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"_Toc30718"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2"/>
          <w:highlight w:val="none"/>
        </w:rPr>
        <w:t>▲附件1.9 未违反《中华人民共和国政府采购法实施条例》第十八条规定的承诺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_Toc30718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3"/>
        <w:tabs>
          <w:tab w:val="right" w:leader="dot" w:pos="907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"_Toc6111"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第二节 响应文件第二部分--报价和偏离表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_Toc6111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3"/>
        <w:tabs>
          <w:tab w:val="right" w:leader="dot" w:pos="907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"_Toc23598"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▲附件2.1 报价表格式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_Toc23598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3"/>
        <w:tabs>
          <w:tab w:val="right" w:leader="dot" w:pos="907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"_Toc15453"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附件2.2 分项报价表格式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_Toc15453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3"/>
        <w:tabs>
          <w:tab w:val="right" w:leader="dot" w:pos="907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"_Toc2476"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▲附件2.3 偏离表格式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3"/>
        <w:tabs>
          <w:tab w:val="right" w:leader="dot" w:pos="907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"_Toc14489"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附件3. 评分应答文件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3"/>
        <w:tabs>
          <w:tab w:val="right" w:leader="dot" w:pos="907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"_Toc1529"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附件4．担保函格式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tabs>
          <w:tab w:val="right" w:leader="dot" w:pos="907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"_Toc29521"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第四章 合同条款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_Toc29521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1"/>
        <w:tabs>
          <w:tab w:val="right" w:leader="dot" w:pos="907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"_Toc16145"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highlight w:val="none"/>
        </w:rPr>
        <w:t>第五章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_Toc16145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04"/>
        <w:tabs>
          <w:tab w:val="right" w:leader="dot" w:pos="9060"/>
        </w:tabs>
        <w:snapToGrid w:val="0"/>
        <w:spacing w:before="120" w:after="120" w:line="360" w:lineRule="auto"/>
        <w:jc w:val="left"/>
        <w:rPr>
          <w:rFonts w:hint="eastAsia" w:ascii="宋体" w:hAnsi="宋体" w:eastAsia="宋体" w:cs="宋体"/>
          <w:color w:val="auto"/>
          <w:sz w:val="36"/>
          <w:highlight w:val="none"/>
        </w:rPr>
      </w:pPr>
      <w:r>
        <w:rPr>
          <w:rFonts w:hint="eastAsia" w:ascii="宋体" w:hAnsi="宋体" w:eastAsia="宋体" w:cs="宋体"/>
          <w:color w:val="auto"/>
          <w:szCs w:val="24"/>
          <w:highlight w:val="none"/>
        </w:rPr>
        <w:fldChar w:fldCharType="end"/>
      </w:r>
      <w:bookmarkStart w:id="0" w:name="_Toc379571891"/>
      <w:bookmarkStart w:id="1" w:name="_Toc46107900"/>
      <w:bookmarkStart w:id="2" w:name="_Toc53841385"/>
      <w:bookmarkStart w:id="3" w:name="_Toc8845605"/>
      <w:bookmarkStart w:id="4" w:name="_Toc21916432"/>
      <w:bookmarkStart w:id="5" w:name="_Toc250381445"/>
      <w:bookmarkStart w:id="6" w:name="_Toc10213"/>
      <w:bookmarkStart w:id="7" w:name="_Toc352358146"/>
      <w:bookmarkStart w:id="8" w:name="_Toc21854763"/>
      <w:bookmarkStart w:id="9" w:name="_Toc21861900"/>
      <w:bookmarkStart w:id="10" w:name="_Toc8845739"/>
      <w:bookmarkStart w:id="11" w:name="_Toc52417576"/>
      <w:bookmarkStart w:id="12" w:name="_Toc18509"/>
      <w:bookmarkStart w:id="13" w:name="_Toc21916299"/>
      <w:bookmarkStart w:id="14" w:name="_Toc52503447"/>
      <w:bookmarkStart w:id="15" w:name="_Toc59262950"/>
      <w:bookmarkStart w:id="16" w:name="_Toc374966487"/>
      <w:bookmarkStart w:id="17" w:name="_Toc436679148"/>
      <w:bookmarkStart w:id="18" w:name="_Toc352357932"/>
      <w:bookmarkStart w:id="19" w:name="_Toc8845678"/>
      <w:bookmarkStart w:id="20" w:name="_Toc276043870"/>
      <w:bookmarkStart w:id="21" w:name="_Toc232434652"/>
      <w:bookmarkStart w:id="22" w:name="_Toc239138573"/>
      <w:bookmarkStart w:id="23" w:name="_Toc21916231"/>
      <w:bookmarkStart w:id="24" w:name="_Toc59263201"/>
      <w:bookmarkStart w:id="25" w:name="_Toc14777"/>
      <w:bookmarkStart w:id="26" w:name="_Toc24342872"/>
      <w:bookmarkStart w:id="27" w:name="_Toc210192415"/>
      <w:bookmarkStart w:id="28" w:name="_Toc24405"/>
      <w:bookmarkStart w:id="29" w:name="_Toc46304749"/>
      <w:bookmarkStart w:id="30" w:name="_Toc414456718"/>
      <w:bookmarkStart w:id="31" w:name="_Toc12997"/>
      <w:bookmarkStart w:id="32" w:name="_Toc377394447"/>
      <w:r>
        <w:rPr>
          <w:rFonts w:hint="eastAsia" w:ascii="宋体" w:hAnsi="宋体" w:eastAsia="宋体" w:cs="宋体"/>
          <w:color w:val="auto"/>
          <w:sz w:val="36"/>
          <w:highlight w:val="none"/>
        </w:rPr>
        <w:br w:type="page"/>
      </w:r>
      <w:bookmarkStart w:id="33" w:name="_Toc19233"/>
      <w:bookmarkStart w:id="34" w:name="_Toc3804"/>
    </w:p>
    <w:p>
      <w:pPr>
        <w:pStyle w:val="4"/>
        <w:tabs>
          <w:tab w:val="center" w:pos="4535"/>
          <w:tab w:val="left" w:pos="6464"/>
        </w:tabs>
        <w:spacing w:line="400" w:lineRule="exact"/>
        <w:jc w:val="center"/>
        <w:rPr>
          <w:rFonts w:hint="eastAsia" w:ascii="宋体" w:hAnsi="宋体" w:eastAsia="宋体" w:cs="宋体"/>
          <w:color w:val="auto"/>
          <w:highlight w:val="none"/>
        </w:rPr>
      </w:pPr>
      <w:bookmarkStart w:id="35" w:name="_Toc12129"/>
      <w:bookmarkStart w:id="36" w:name="_Toc4307"/>
      <w:r>
        <w:rPr>
          <w:rFonts w:hint="eastAsia" w:ascii="宋体" w:hAnsi="宋体" w:eastAsia="宋体" w:cs="宋体"/>
          <w:color w:val="auto"/>
          <w:sz w:val="36"/>
          <w:highlight w:val="none"/>
        </w:rPr>
        <w:t>第一章 磋商邀请</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pPr>
        <w:snapToGrid w:val="0"/>
        <w:spacing w:line="300" w:lineRule="auto"/>
        <w:textAlignment w:val="baseline"/>
        <w:rPr>
          <w:rFonts w:hint="eastAsia" w:ascii="宋体" w:hAnsi="宋体" w:eastAsia="宋体" w:cs="宋体"/>
          <w:color w:val="auto"/>
          <w:sz w:val="24"/>
          <w:highlight w:val="none"/>
        </w:rPr>
      </w:pPr>
    </w:p>
    <w:p>
      <w:pPr>
        <w:spacing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pPr>
        <w:spacing w:line="30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项目编号：</w:t>
      </w:r>
      <w:r>
        <w:rPr>
          <w:rFonts w:hint="eastAsia" w:ascii="宋体" w:hAnsi="宋体" w:eastAsia="宋体" w:cs="宋体"/>
          <w:b/>
          <w:bCs/>
          <w:color w:val="auto"/>
          <w:sz w:val="24"/>
          <w:szCs w:val="24"/>
          <w:highlight w:val="none"/>
          <w:lang w:eastAsia="zh-CN"/>
        </w:rPr>
        <w:t>23CNIC381070-90</w:t>
      </w:r>
    </w:p>
    <w:p>
      <w:pPr>
        <w:spacing w:line="30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项目名称：</w:t>
      </w:r>
      <w:r>
        <w:rPr>
          <w:rFonts w:hint="eastAsia" w:ascii="宋体" w:hAnsi="宋体" w:eastAsia="宋体" w:cs="宋体"/>
          <w:b/>
          <w:bCs/>
          <w:color w:val="auto"/>
          <w:sz w:val="24"/>
          <w:szCs w:val="24"/>
          <w:highlight w:val="none"/>
          <w:lang w:eastAsia="zh-CN"/>
        </w:rPr>
        <w:t>赤峰市医院实验室设备检测服务采购项目</w:t>
      </w:r>
    </w:p>
    <w:p>
      <w:pPr>
        <w:spacing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采购方式：竞争性磋商</w:t>
      </w:r>
    </w:p>
    <w:p>
      <w:pPr>
        <w:spacing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预算金额：</w:t>
      </w:r>
      <w:r>
        <w:rPr>
          <w:rFonts w:hint="eastAsia" w:ascii="宋体" w:hAnsi="宋体" w:eastAsia="宋体" w:cs="宋体"/>
          <w:b/>
          <w:bCs/>
          <w:color w:val="auto"/>
          <w:sz w:val="24"/>
          <w:szCs w:val="24"/>
          <w:highlight w:val="none"/>
          <w:lang w:val="en-US" w:eastAsia="zh-CN"/>
        </w:rPr>
        <w:t>12.93</w:t>
      </w:r>
      <w:r>
        <w:rPr>
          <w:rFonts w:hint="eastAsia" w:ascii="宋体" w:hAnsi="宋体" w:eastAsia="宋体" w:cs="宋体"/>
          <w:b/>
          <w:bCs/>
          <w:color w:val="auto"/>
          <w:sz w:val="24"/>
          <w:szCs w:val="24"/>
          <w:highlight w:val="none"/>
        </w:rPr>
        <w:t>万元（人民币）</w:t>
      </w:r>
    </w:p>
    <w:p>
      <w:pPr>
        <w:adjustRightInd w:val="0"/>
        <w:snapToGrid w:val="0"/>
        <w:spacing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采购需求：</w:t>
      </w:r>
      <w:r>
        <w:rPr>
          <w:rFonts w:hint="eastAsia" w:ascii="宋体" w:hAnsi="宋体" w:eastAsia="宋体" w:cs="宋体"/>
          <w:color w:val="auto"/>
          <w:sz w:val="24"/>
          <w:szCs w:val="24"/>
          <w:highlight w:val="none"/>
          <w:lang w:eastAsia="zh-CN"/>
        </w:rPr>
        <w:t>赤峰市医院实验室设备检测服务</w:t>
      </w:r>
    </w:p>
    <w:p>
      <w:pPr>
        <w:adjustRightInd w:val="0"/>
        <w:snapToGrid w:val="0"/>
        <w:spacing w:line="300" w:lineRule="auto"/>
        <w:rPr>
          <w:rFonts w:hint="eastAsia" w:ascii="宋体" w:hAnsi="宋体" w:eastAsia="宋体" w:cs="宋体"/>
          <w:b/>
          <w:bCs/>
          <w:color w:val="auto"/>
          <w:sz w:val="24"/>
          <w:szCs w:val="21"/>
          <w:highlight w:val="none"/>
        </w:rPr>
      </w:pPr>
      <w:r>
        <w:rPr>
          <w:rFonts w:hint="eastAsia" w:ascii="宋体" w:hAnsi="宋体" w:eastAsia="宋体" w:cs="宋体"/>
          <w:color w:val="auto"/>
          <w:sz w:val="24"/>
          <w:szCs w:val="24"/>
          <w:highlight w:val="none"/>
        </w:rPr>
        <w:t>注：供应商必须对要求的所有货物服务给予报价，不允许拆分投标。投标文件正、副本必须分开装订成册。</w:t>
      </w:r>
    </w:p>
    <w:p>
      <w:pPr>
        <w:adjustRightInd w:val="0"/>
        <w:snapToGrid w:val="0"/>
        <w:spacing w:line="300" w:lineRule="auto"/>
        <w:rPr>
          <w:rFonts w:hint="eastAsia" w:ascii="宋体" w:hAnsi="宋体" w:eastAsia="宋体" w:cs="宋体"/>
          <w:bCs/>
          <w:color w:val="auto"/>
          <w:sz w:val="24"/>
          <w:szCs w:val="21"/>
          <w:highlight w:val="none"/>
        </w:rPr>
      </w:pPr>
    </w:p>
    <w:p>
      <w:pPr>
        <w:spacing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合同履行期限：</w:t>
      </w:r>
      <w:r>
        <w:rPr>
          <w:rFonts w:hint="eastAsia" w:ascii="宋体" w:hAnsi="宋体" w:eastAsia="宋体" w:cs="宋体"/>
          <w:b/>
          <w:bCs/>
          <w:color w:val="auto"/>
          <w:sz w:val="24"/>
          <w:szCs w:val="24"/>
          <w:highlight w:val="none"/>
          <w:lang w:val="en-US" w:eastAsia="zh-CN"/>
        </w:rPr>
        <w:t>自合同生效之日起一年</w:t>
      </w:r>
      <w:r>
        <w:rPr>
          <w:rFonts w:hint="eastAsia" w:ascii="宋体" w:hAnsi="宋体" w:eastAsia="宋体" w:cs="宋体"/>
          <w:b/>
          <w:bCs/>
          <w:color w:val="auto"/>
          <w:sz w:val="24"/>
          <w:szCs w:val="24"/>
          <w:highlight w:val="none"/>
        </w:rPr>
        <w:t>。</w:t>
      </w:r>
    </w:p>
    <w:p>
      <w:pPr>
        <w:spacing w:line="300" w:lineRule="auto"/>
        <w:rPr>
          <w:rFonts w:hint="eastAsia" w:ascii="宋体" w:hAnsi="宋体" w:eastAsia="宋体" w:cs="宋体"/>
          <w:color w:val="auto"/>
          <w:sz w:val="24"/>
          <w:szCs w:val="24"/>
          <w:highlight w:val="none"/>
        </w:rPr>
      </w:pPr>
    </w:p>
    <w:p>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w:t>
      </w:r>
    </w:p>
    <w:p>
      <w:pPr>
        <w:spacing w:line="300" w:lineRule="auto"/>
        <w:rPr>
          <w:rFonts w:hint="eastAsia" w:ascii="宋体" w:hAnsi="宋体" w:eastAsia="宋体" w:cs="宋体"/>
          <w:color w:val="auto"/>
          <w:sz w:val="24"/>
          <w:szCs w:val="24"/>
          <w:highlight w:val="none"/>
        </w:rPr>
      </w:pPr>
    </w:p>
    <w:p>
      <w:pPr>
        <w:spacing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二、申请人的资格要求：</w:t>
      </w:r>
    </w:p>
    <w:p>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p>
    <w:p>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供应商应是符合国家相关法律法规要求的独立法人，不能是被列入“信用中国”网站(www.creditchina.gov.cn)失信被执行人、重大税收违法案件当事人名单、政府采购严重违法失信行为记录名单的供应商。</w:t>
      </w:r>
    </w:p>
    <w:p>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供应商负责人为同一人或者存在直接控股、管理关系的不同供应商，不得共同参加本项目的磋商。为本项目提供整体设计、规范编制或者项目管理、监理、检测等服务的供应商，不得再参加本项目的磋商。</w:t>
      </w:r>
    </w:p>
    <w:p>
      <w:pPr>
        <w:spacing w:line="300" w:lineRule="auto"/>
        <w:rPr>
          <w:rFonts w:hint="eastAsia" w:ascii="宋体" w:hAnsi="宋体" w:eastAsia="宋体" w:cs="宋体"/>
          <w:color w:val="auto"/>
          <w:sz w:val="24"/>
          <w:szCs w:val="24"/>
          <w:highlight w:val="none"/>
        </w:rPr>
      </w:pPr>
    </w:p>
    <w:p>
      <w:pPr>
        <w:keepNext w:val="0"/>
        <w:keepLines w:val="0"/>
        <w:widowControl/>
        <w:suppressLineNumbers w:val="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本项目的特定资格要求：</w:t>
      </w:r>
      <w:r>
        <w:rPr>
          <w:rFonts w:hint="eastAsia" w:ascii="宋体" w:hAnsi="宋体" w:eastAsia="宋体" w:cs="宋体"/>
          <w:color w:val="auto"/>
          <w:sz w:val="24"/>
          <w:szCs w:val="24"/>
          <w:highlight w:val="none"/>
          <w:lang w:val="en-US" w:eastAsia="zh-CN"/>
        </w:rPr>
        <w:t>/</w:t>
      </w:r>
    </w:p>
    <w:p>
      <w:pPr>
        <w:numPr>
          <w:ilvl w:val="0"/>
          <w:numId w:val="0"/>
        </w:numPr>
        <w:spacing w:line="300" w:lineRule="auto"/>
        <w:rPr>
          <w:rFonts w:hint="eastAsia" w:ascii="宋体" w:hAnsi="宋体" w:eastAsia="宋体" w:cs="宋体"/>
          <w:color w:val="auto"/>
          <w:sz w:val="24"/>
          <w:szCs w:val="24"/>
          <w:highlight w:val="none"/>
        </w:rPr>
      </w:pPr>
    </w:p>
    <w:p>
      <w:pPr>
        <w:spacing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pPr>
        <w:spacing w:line="30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时间：202</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日至2023年</w:t>
      </w: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日</w:t>
      </w:r>
      <w:r>
        <w:rPr>
          <w:rFonts w:hint="eastAsia" w:ascii="宋体" w:hAnsi="宋体" w:eastAsia="宋体" w:cs="宋体"/>
          <w:color w:val="auto"/>
          <w:sz w:val="24"/>
          <w:szCs w:val="24"/>
          <w:highlight w:val="none"/>
        </w:rPr>
        <w:t>（磋商文件的发售期限自开始之日起不得少于5个工作日），每天上午9:00至12:00，下午12:00至17:00。（北京时间，法定节假日除外）</w:t>
      </w:r>
    </w:p>
    <w:p>
      <w:pPr>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地点：网上</w:t>
      </w:r>
      <w:r>
        <w:rPr>
          <w:rFonts w:hint="eastAsia" w:ascii="宋体" w:hAnsi="宋体" w:eastAsia="宋体" w:cs="宋体"/>
          <w:color w:val="auto"/>
          <w:sz w:val="24"/>
          <w:szCs w:val="24"/>
          <w:highlight w:val="none"/>
          <w:lang w:val="en-US" w:eastAsia="zh-CN"/>
        </w:rPr>
        <w:t>申请。</w:t>
      </w:r>
    </w:p>
    <w:p>
      <w:pPr>
        <w:pStyle w:val="24"/>
        <w:adjustRightInd w:val="0"/>
        <w:snapToGrid w:val="0"/>
        <w:spacing w:before="0" w:beforeAutospacing="0" w:after="0" w:afterAutospacing="0" w:line="30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方式：</w:t>
      </w:r>
      <w:r>
        <w:rPr>
          <w:rFonts w:hint="eastAsia" w:ascii="宋体" w:hAnsi="宋体" w:eastAsia="宋体" w:cs="宋体"/>
          <w:color w:val="auto"/>
          <w:kern w:val="2"/>
          <w:sz w:val="24"/>
          <w:szCs w:val="24"/>
          <w:highlight w:val="none"/>
          <w:lang w:val="en-US" w:eastAsia="zh-CN" w:bidi="ar-SA"/>
        </w:rPr>
        <w:t>凡有意参与者，需登录电子招投标平台（https://bid.cnic.com.cn；下简称“交易平台”）进行免费注册。注册后凭获得的用户名、密码验证身份登录，登录后点击购买/下载文件，进入项目列表；可根据项目名称、编号进行查询，项目列表中找到需要购买的项目，点击我要报名，在新页面录入相关信息，信息填写完成后点击确认（备注项目编号）</w:t>
      </w:r>
      <w:r>
        <w:rPr>
          <w:rFonts w:hint="eastAsia" w:ascii="宋体" w:hAnsi="宋体" w:eastAsia="宋体" w:cs="宋体"/>
          <w:color w:val="auto"/>
          <w:szCs w:val="24"/>
          <w:highlight w:val="none"/>
        </w:rPr>
        <w:t>。</w:t>
      </w:r>
    </w:p>
    <w:p>
      <w:pPr>
        <w:pStyle w:val="16"/>
        <w:snapToGrid w:val="0"/>
        <w:spacing w:line="300" w:lineRule="auto"/>
        <w:rPr>
          <w:rFonts w:hint="eastAsia" w:ascii="宋体" w:hAnsi="宋体" w:eastAsia="宋体" w:cs="宋体"/>
          <w:color w:val="auto"/>
          <w:sz w:val="24"/>
          <w:szCs w:val="24"/>
          <w:highlight w:val="none"/>
        </w:rPr>
      </w:pPr>
    </w:p>
    <w:p>
      <w:pPr>
        <w:pStyle w:val="24"/>
        <w:adjustRightInd w:val="0"/>
        <w:snapToGrid w:val="0"/>
        <w:spacing w:before="0" w:beforeAutospacing="0" w:after="0" w:afterAutospacing="0" w:line="300" w:lineRule="auto"/>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售价：</w:t>
      </w:r>
      <w:r>
        <w:rPr>
          <w:rFonts w:hint="eastAsia" w:ascii="宋体" w:hAnsi="宋体" w:eastAsia="宋体" w:cs="宋体"/>
          <w:color w:val="auto"/>
          <w:szCs w:val="24"/>
          <w:highlight w:val="none"/>
          <w:lang w:val="en-US" w:eastAsia="zh-CN"/>
        </w:rPr>
        <w:t>0</w:t>
      </w:r>
      <w:r>
        <w:rPr>
          <w:rFonts w:hint="eastAsia" w:ascii="宋体" w:hAnsi="宋体" w:eastAsia="宋体" w:cs="宋体"/>
          <w:color w:val="auto"/>
          <w:szCs w:val="24"/>
          <w:highlight w:val="none"/>
        </w:rPr>
        <w:t>。</w:t>
      </w:r>
    </w:p>
    <w:p>
      <w:pPr>
        <w:spacing w:line="300" w:lineRule="auto"/>
        <w:rPr>
          <w:rFonts w:hint="eastAsia" w:ascii="宋体" w:hAnsi="宋体" w:eastAsia="宋体" w:cs="宋体"/>
          <w:color w:val="auto"/>
          <w:sz w:val="24"/>
          <w:szCs w:val="24"/>
          <w:highlight w:val="none"/>
        </w:rPr>
      </w:pPr>
    </w:p>
    <w:p>
      <w:pPr>
        <w:spacing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pPr>
        <w:spacing w:line="30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截止时间：</w:t>
      </w:r>
      <w:r>
        <w:rPr>
          <w:b/>
          <w:bCs/>
          <w:color w:val="auto"/>
          <w:kern w:val="0"/>
          <w:sz w:val="24"/>
          <w:szCs w:val="24"/>
          <w:highlight w:val="none"/>
        </w:rPr>
        <w:t>202</w:t>
      </w:r>
      <w:r>
        <w:rPr>
          <w:rFonts w:hint="eastAsia"/>
          <w:b/>
          <w:bCs/>
          <w:color w:val="auto"/>
          <w:kern w:val="0"/>
          <w:sz w:val="24"/>
          <w:szCs w:val="24"/>
          <w:highlight w:val="none"/>
          <w:lang w:val="en-US" w:eastAsia="zh-CN"/>
        </w:rPr>
        <w:t>3</w:t>
      </w:r>
      <w:r>
        <w:rPr>
          <w:b/>
          <w:bCs/>
          <w:color w:val="auto"/>
          <w:kern w:val="0"/>
          <w:sz w:val="24"/>
          <w:szCs w:val="24"/>
          <w:highlight w:val="none"/>
        </w:rPr>
        <w:t>年</w:t>
      </w:r>
      <w:r>
        <w:rPr>
          <w:rFonts w:hint="eastAsia"/>
          <w:b/>
          <w:bCs/>
          <w:color w:val="auto"/>
          <w:kern w:val="0"/>
          <w:sz w:val="24"/>
          <w:szCs w:val="24"/>
          <w:highlight w:val="none"/>
          <w:lang w:val="en-US" w:eastAsia="zh-CN"/>
        </w:rPr>
        <w:t>9</w:t>
      </w:r>
      <w:r>
        <w:rPr>
          <w:b/>
          <w:bCs/>
          <w:color w:val="auto"/>
          <w:kern w:val="0"/>
          <w:sz w:val="24"/>
          <w:szCs w:val="24"/>
          <w:highlight w:val="none"/>
        </w:rPr>
        <w:t>月</w:t>
      </w:r>
      <w:r>
        <w:rPr>
          <w:rFonts w:hint="eastAsia"/>
          <w:b/>
          <w:bCs/>
          <w:color w:val="auto"/>
          <w:kern w:val="0"/>
          <w:sz w:val="24"/>
          <w:szCs w:val="24"/>
          <w:highlight w:val="none"/>
          <w:lang w:val="en-US" w:eastAsia="zh-CN"/>
        </w:rPr>
        <w:t>14</w:t>
      </w:r>
      <w:r>
        <w:rPr>
          <w:b/>
          <w:bCs/>
          <w:color w:val="auto"/>
          <w:kern w:val="0"/>
          <w:sz w:val="24"/>
          <w:szCs w:val="24"/>
          <w:highlight w:val="none"/>
        </w:rPr>
        <w:t>日</w:t>
      </w:r>
      <w:r>
        <w:rPr>
          <w:rFonts w:hint="eastAsia"/>
          <w:b/>
          <w:bCs/>
          <w:color w:val="auto"/>
          <w:kern w:val="0"/>
          <w:sz w:val="24"/>
          <w:szCs w:val="24"/>
          <w:highlight w:val="none"/>
          <w:lang w:val="en-US" w:eastAsia="zh-CN"/>
        </w:rPr>
        <w:t>09</w:t>
      </w:r>
      <w:r>
        <w:rPr>
          <w:b/>
          <w:bCs/>
          <w:color w:val="auto"/>
          <w:kern w:val="0"/>
          <w:sz w:val="24"/>
          <w:szCs w:val="24"/>
          <w:highlight w:val="none"/>
        </w:rPr>
        <w:t>点</w:t>
      </w:r>
      <w:r>
        <w:rPr>
          <w:rFonts w:hint="eastAsia"/>
          <w:b/>
          <w:bCs/>
          <w:color w:val="auto"/>
          <w:kern w:val="0"/>
          <w:sz w:val="24"/>
          <w:szCs w:val="24"/>
          <w:highlight w:val="none"/>
          <w:lang w:val="en-US" w:eastAsia="zh-CN"/>
        </w:rPr>
        <w:t>3</w:t>
      </w:r>
      <w:r>
        <w:rPr>
          <w:b/>
          <w:bCs/>
          <w:color w:val="auto"/>
          <w:kern w:val="0"/>
          <w:sz w:val="24"/>
          <w:szCs w:val="24"/>
          <w:highlight w:val="none"/>
        </w:rPr>
        <w:t>0分</w:t>
      </w:r>
      <w:r>
        <w:rPr>
          <w:rFonts w:hint="eastAsia" w:ascii="宋体" w:hAnsi="宋体" w:eastAsia="宋体" w:cs="宋体"/>
          <w:b/>
          <w:bCs/>
          <w:color w:val="auto"/>
          <w:sz w:val="24"/>
          <w:szCs w:val="24"/>
          <w:highlight w:val="none"/>
        </w:rPr>
        <w:t>（北京时间）</w:t>
      </w:r>
      <w:r>
        <w:rPr>
          <w:rFonts w:hint="eastAsia" w:ascii="宋体" w:hAnsi="宋体" w:eastAsia="宋体" w:cs="宋体"/>
          <w:color w:val="auto"/>
          <w:sz w:val="24"/>
          <w:szCs w:val="24"/>
          <w:highlight w:val="none"/>
        </w:rPr>
        <w:t>（从磋商文件开始发出之日起至供应商提交首次响应文件截止之日止不得少于10日）</w:t>
      </w:r>
    </w:p>
    <w:p>
      <w:pPr>
        <w:spacing w:line="300" w:lineRule="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地点：</w:t>
      </w:r>
      <w:r>
        <w:rPr>
          <w:rFonts w:hint="eastAsia" w:ascii="Times New Roman" w:hAnsi="Times New Roman" w:eastAsia="宋体" w:cs="Times New Roman"/>
          <w:bCs/>
          <w:color w:val="auto"/>
          <w:kern w:val="0"/>
          <w:sz w:val="24"/>
          <w:highlight w:val="none"/>
          <w:lang w:val="en-US" w:eastAsia="zh-CN" w:bidi="ar-SA"/>
        </w:rPr>
        <w:t>内蒙古自治区</w:t>
      </w:r>
      <w:r>
        <w:rPr>
          <w:rFonts w:hint="eastAsia" w:ascii="Times New Roman" w:hAnsi="Times New Roman" w:eastAsia="宋体" w:cs="Times New Roman"/>
          <w:color w:val="auto"/>
          <w:kern w:val="2"/>
          <w:sz w:val="24"/>
          <w:szCs w:val="24"/>
          <w:highlight w:val="none"/>
          <w:lang w:val="en-US" w:eastAsia="zh-CN" w:bidi="ar-SA"/>
        </w:rPr>
        <w:t>赤峰市松山区中昊大厦四层开标三室B06</w:t>
      </w:r>
      <w:r>
        <w:rPr>
          <w:rFonts w:hint="eastAsia" w:ascii="宋体" w:hAnsi="宋体" w:cs="宋体"/>
          <w:color w:val="auto"/>
          <w:sz w:val="24"/>
          <w:szCs w:val="24"/>
          <w:highlight w:val="none"/>
          <w:lang w:eastAsia="zh-CN"/>
        </w:rPr>
        <w:t>；</w:t>
      </w:r>
    </w:p>
    <w:p>
      <w:pPr>
        <w:spacing w:line="300" w:lineRule="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响应文件递交时间：</w:t>
      </w:r>
      <w:r>
        <w:rPr>
          <w:rFonts w:hint="eastAsia" w:ascii="宋体" w:hAnsi="宋体" w:eastAsia="宋体" w:cs="宋体"/>
          <w:b/>
          <w:bCs/>
          <w:color w:val="auto"/>
          <w:sz w:val="24"/>
          <w:szCs w:val="24"/>
          <w:highlight w:val="none"/>
          <w:lang w:eastAsia="zh-CN"/>
        </w:rPr>
        <w:t>2023年</w:t>
      </w:r>
      <w:r>
        <w:rPr>
          <w:rFonts w:hint="eastAsia"/>
          <w:b/>
          <w:bCs/>
          <w:color w:val="auto"/>
          <w:kern w:val="0"/>
          <w:sz w:val="24"/>
          <w:szCs w:val="24"/>
          <w:highlight w:val="none"/>
          <w:lang w:val="en-US" w:eastAsia="zh-CN"/>
        </w:rPr>
        <w:t>9</w:t>
      </w:r>
      <w:r>
        <w:rPr>
          <w:b/>
          <w:bCs/>
          <w:color w:val="auto"/>
          <w:kern w:val="0"/>
          <w:sz w:val="24"/>
          <w:szCs w:val="24"/>
          <w:highlight w:val="none"/>
        </w:rPr>
        <w:t>月</w:t>
      </w:r>
      <w:r>
        <w:rPr>
          <w:rFonts w:hint="eastAsia"/>
          <w:b/>
          <w:bCs/>
          <w:color w:val="auto"/>
          <w:kern w:val="0"/>
          <w:sz w:val="24"/>
          <w:szCs w:val="24"/>
          <w:highlight w:val="none"/>
          <w:lang w:val="en-US" w:eastAsia="zh-CN"/>
        </w:rPr>
        <w:t>14</w:t>
      </w:r>
      <w:r>
        <w:rPr>
          <w:b/>
          <w:bCs/>
          <w:color w:val="auto"/>
          <w:kern w:val="0"/>
          <w:sz w:val="24"/>
          <w:szCs w:val="24"/>
          <w:highlight w:val="none"/>
        </w:rPr>
        <w:t>日</w:t>
      </w:r>
      <w:r>
        <w:rPr>
          <w:rFonts w:hint="eastAsia"/>
          <w:b/>
          <w:bCs/>
          <w:color w:val="auto"/>
          <w:kern w:val="0"/>
          <w:sz w:val="24"/>
          <w:szCs w:val="24"/>
          <w:highlight w:val="none"/>
          <w:lang w:val="en-US" w:eastAsia="zh-CN"/>
        </w:rPr>
        <w:t>09</w:t>
      </w:r>
      <w:r>
        <w:rPr>
          <w:b/>
          <w:bCs/>
          <w:color w:val="auto"/>
          <w:kern w:val="0"/>
          <w:sz w:val="24"/>
          <w:szCs w:val="24"/>
          <w:highlight w:val="none"/>
        </w:rPr>
        <w:t>点</w:t>
      </w:r>
      <w:r>
        <w:rPr>
          <w:rFonts w:hint="eastAsia"/>
          <w:b/>
          <w:bCs/>
          <w:color w:val="auto"/>
          <w:kern w:val="0"/>
          <w:sz w:val="24"/>
          <w:szCs w:val="24"/>
          <w:highlight w:val="none"/>
          <w:lang w:val="en-US" w:eastAsia="zh-CN"/>
        </w:rPr>
        <w:t>3</w:t>
      </w:r>
      <w:r>
        <w:rPr>
          <w:b/>
          <w:bCs/>
          <w:color w:val="auto"/>
          <w:kern w:val="0"/>
          <w:sz w:val="24"/>
          <w:szCs w:val="24"/>
          <w:highlight w:val="none"/>
        </w:rPr>
        <w:t>0分</w:t>
      </w:r>
      <w:r>
        <w:rPr>
          <w:rFonts w:hint="eastAsia" w:ascii="宋体" w:hAnsi="宋体" w:eastAsia="宋体" w:cs="宋体"/>
          <w:b/>
          <w:bCs/>
          <w:color w:val="auto"/>
          <w:sz w:val="24"/>
          <w:szCs w:val="24"/>
          <w:highlight w:val="none"/>
        </w:rPr>
        <w:t>（北京时间）</w:t>
      </w:r>
    </w:p>
    <w:p>
      <w:pPr>
        <w:spacing w:line="300" w:lineRule="auto"/>
        <w:rPr>
          <w:rFonts w:hint="eastAsia" w:ascii="宋体" w:hAnsi="宋体" w:eastAsia="宋体" w:cs="宋体"/>
          <w:color w:val="auto"/>
          <w:sz w:val="24"/>
          <w:szCs w:val="24"/>
          <w:highlight w:val="none"/>
        </w:rPr>
      </w:pPr>
    </w:p>
    <w:p>
      <w:pPr>
        <w:spacing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pPr>
        <w:spacing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时间：</w:t>
      </w:r>
      <w:r>
        <w:rPr>
          <w:rFonts w:hint="eastAsia" w:ascii="宋体" w:hAnsi="宋体" w:eastAsia="宋体" w:cs="宋体"/>
          <w:b/>
          <w:bCs/>
          <w:color w:val="auto"/>
          <w:sz w:val="24"/>
          <w:szCs w:val="24"/>
          <w:highlight w:val="none"/>
          <w:lang w:eastAsia="zh-CN"/>
        </w:rPr>
        <w:t>2023年</w:t>
      </w:r>
      <w:r>
        <w:rPr>
          <w:rFonts w:hint="eastAsia"/>
          <w:b/>
          <w:bCs/>
          <w:color w:val="auto"/>
          <w:kern w:val="0"/>
          <w:sz w:val="24"/>
          <w:szCs w:val="24"/>
          <w:highlight w:val="none"/>
          <w:lang w:val="en-US" w:eastAsia="zh-CN"/>
        </w:rPr>
        <w:t>9</w:t>
      </w:r>
      <w:r>
        <w:rPr>
          <w:b/>
          <w:bCs/>
          <w:color w:val="auto"/>
          <w:kern w:val="0"/>
          <w:sz w:val="24"/>
          <w:szCs w:val="24"/>
          <w:highlight w:val="none"/>
        </w:rPr>
        <w:t>月</w:t>
      </w:r>
      <w:r>
        <w:rPr>
          <w:rFonts w:hint="eastAsia"/>
          <w:b/>
          <w:bCs/>
          <w:color w:val="auto"/>
          <w:kern w:val="0"/>
          <w:sz w:val="24"/>
          <w:szCs w:val="24"/>
          <w:highlight w:val="none"/>
          <w:lang w:val="en-US" w:eastAsia="zh-CN"/>
        </w:rPr>
        <w:t>14</w:t>
      </w:r>
      <w:r>
        <w:rPr>
          <w:b/>
          <w:bCs/>
          <w:color w:val="auto"/>
          <w:kern w:val="0"/>
          <w:sz w:val="24"/>
          <w:szCs w:val="24"/>
          <w:highlight w:val="none"/>
        </w:rPr>
        <w:t>日</w:t>
      </w:r>
      <w:r>
        <w:rPr>
          <w:rFonts w:hint="eastAsia"/>
          <w:b/>
          <w:bCs/>
          <w:color w:val="auto"/>
          <w:kern w:val="0"/>
          <w:sz w:val="24"/>
          <w:szCs w:val="24"/>
          <w:highlight w:val="none"/>
          <w:lang w:val="en-US" w:eastAsia="zh-CN"/>
        </w:rPr>
        <w:t>09</w:t>
      </w:r>
      <w:r>
        <w:rPr>
          <w:b/>
          <w:bCs/>
          <w:color w:val="auto"/>
          <w:kern w:val="0"/>
          <w:sz w:val="24"/>
          <w:szCs w:val="24"/>
          <w:highlight w:val="none"/>
        </w:rPr>
        <w:t>点</w:t>
      </w:r>
      <w:r>
        <w:rPr>
          <w:rFonts w:hint="eastAsia"/>
          <w:b/>
          <w:bCs/>
          <w:color w:val="auto"/>
          <w:kern w:val="0"/>
          <w:sz w:val="24"/>
          <w:szCs w:val="24"/>
          <w:highlight w:val="none"/>
          <w:lang w:val="en-US" w:eastAsia="zh-CN"/>
        </w:rPr>
        <w:t>3</w:t>
      </w:r>
      <w:r>
        <w:rPr>
          <w:b/>
          <w:bCs/>
          <w:color w:val="auto"/>
          <w:kern w:val="0"/>
          <w:sz w:val="24"/>
          <w:szCs w:val="24"/>
          <w:highlight w:val="none"/>
        </w:rPr>
        <w:t>0分</w:t>
      </w:r>
      <w:r>
        <w:rPr>
          <w:rFonts w:hint="eastAsia" w:ascii="宋体" w:hAnsi="宋体" w:eastAsia="宋体" w:cs="宋体"/>
          <w:b/>
          <w:bCs/>
          <w:color w:val="auto"/>
          <w:sz w:val="24"/>
          <w:szCs w:val="24"/>
          <w:highlight w:val="none"/>
        </w:rPr>
        <w:t>（北京时间）</w:t>
      </w:r>
    </w:p>
    <w:p>
      <w:pPr>
        <w:spacing w:line="300" w:lineRule="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地点：</w:t>
      </w:r>
      <w:r>
        <w:rPr>
          <w:rFonts w:hint="eastAsia" w:ascii="Times New Roman" w:hAnsi="Times New Roman" w:eastAsia="宋体" w:cs="Times New Roman"/>
          <w:bCs/>
          <w:color w:val="auto"/>
          <w:kern w:val="0"/>
          <w:sz w:val="24"/>
          <w:highlight w:val="none"/>
          <w:lang w:val="en-US" w:eastAsia="zh-CN" w:bidi="ar-SA"/>
        </w:rPr>
        <w:t>内蒙古自治区</w:t>
      </w:r>
      <w:r>
        <w:rPr>
          <w:rFonts w:hint="eastAsia" w:ascii="Times New Roman" w:hAnsi="Times New Roman" w:eastAsia="宋体" w:cs="Times New Roman"/>
          <w:color w:val="auto"/>
          <w:kern w:val="2"/>
          <w:sz w:val="24"/>
          <w:szCs w:val="24"/>
          <w:highlight w:val="none"/>
          <w:lang w:val="en-US" w:eastAsia="zh-CN" w:bidi="ar-SA"/>
        </w:rPr>
        <w:t>赤峰市松山区中昊大厦四层开标三室B06</w:t>
      </w:r>
      <w:r>
        <w:rPr>
          <w:rFonts w:hint="eastAsia" w:ascii="宋体" w:hAnsi="宋体" w:eastAsia="宋体" w:cs="宋体"/>
          <w:color w:val="auto"/>
          <w:sz w:val="24"/>
          <w:highlight w:val="none"/>
          <w:lang w:eastAsia="zh-CN"/>
        </w:rPr>
        <w:t>。</w:t>
      </w:r>
    </w:p>
    <w:p>
      <w:pPr>
        <w:spacing w:line="300" w:lineRule="auto"/>
        <w:rPr>
          <w:rFonts w:hint="eastAsia" w:ascii="宋体" w:hAnsi="宋体" w:eastAsia="宋体" w:cs="宋体"/>
          <w:color w:val="auto"/>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、其他补充事宜</w:t>
      </w:r>
    </w:p>
    <w:p>
      <w:pPr>
        <w:spacing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.本项目采购公告、修改公告及采购结果将在中国政府采购网（http:// www. ccgp.gov.cn）上刊登。</w:t>
      </w:r>
    </w:p>
    <w:p>
      <w:pPr>
        <w:adjustRightInd w:val="0"/>
        <w:snapToGrid w:val="0"/>
        <w:spacing w:line="300" w:lineRule="auto"/>
        <w:rPr>
          <w:rFonts w:hint="eastAsia" w:ascii="宋体" w:hAnsi="宋体" w:eastAsia="宋体" w:cs="宋体"/>
          <w:color w:val="auto"/>
          <w:sz w:val="24"/>
          <w:szCs w:val="24"/>
          <w:highlight w:val="none"/>
          <w:lang w:val="en-US" w:eastAsia="zh-CN"/>
        </w:rPr>
      </w:pPr>
    </w:p>
    <w:p>
      <w:pPr>
        <w:adjustRightInd w:val="0"/>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.采购项目需要落实的政府采购政策：</w:t>
      </w:r>
    </w:p>
    <w:p>
      <w:pPr>
        <w:adjustRightInd w:val="0"/>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 政府采购促进中小企业发展</w:t>
      </w:r>
    </w:p>
    <w:p>
      <w:pPr>
        <w:adjustRightInd w:val="0"/>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 政府采购支持监狱企业发展</w:t>
      </w:r>
    </w:p>
    <w:p>
      <w:pPr>
        <w:adjustRightInd w:val="0"/>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 政府采购鼓励节能、环保产品</w:t>
      </w:r>
    </w:p>
    <w:p>
      <w:pPr>
        <w:adjustRightInd w:val="0"/>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.4 扶持不发达地区和少数民族地区</w:t>
      </w:r>
    </w:p>
    <w:p>
      <w:pPr>
        <w:adjustRightInd w:val="0"/>
        <w:snapToGrid w:val="0"/>
        <w:spacing w:line="30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.5促进残疾人就业政府采购政策</w:t>
      </w:r>
    </w:p>
    <w:p>
      <w:pPr>
        <w:spacing w:line="300" w:lineRule="auto"/>
        <w:rPr>
          <w:rFonts w:hint="eastAsia" w:ascii="宋体" w:hAnsi="宋体" w:eastAsia="宋体" w:cs="宋体"/>
          <w:color w:val="auto"/>
          <w:highlight w:val="none"/>
        </w:rPr>
      </w:pPr>
    </w:p>
    <w:p>
      <w:pPr>
        <w:spacing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、凡对本次采购提出询问，请按以下方式联系</w:t>
      </w:r>
    </w:p>
    <w:p>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adjustRightInd w:val="0"/>
        <w:snapToGrid w:val="0"/>
        <w:spacing w:line="300" w:lineRule="auto"/>
        <w:rPr>
          <w:rFonts w:hint="eastAsia" w:ascii="宋体" w:hAnsi="宋体" w:eastAsia="宋体" w:cs="宋体"/>
          <w:bCs/>
          <w:color w:val="auto"/>
          <w:kern w:val="0"/>
          <w:sz w:val="24"/>
          <w:highlight w:val="none"/>
          <w:lang w:val="en-US" w:eastAsia="zh-CN"/>
        </w:rPr>
      </w:pPr>
      <w:r>
        <w:rPr>
          <w:rFonts w:hint="eastAsia" w:ascii="宋体" w:hAnsi="宋体" w:eastAsia="宋体" w:cs="宋体"/>
          <w:bCs/>
          <w:color w:val="auto"/>
          <w:kern w:val="0"/>
          <w:sz w:val="24"/>
          <w:highlight w:val="none"/>
        </w:rPr>
        <w:t>名称：</w:t>
      </w:r>
      <w:r>
        <w:rPr>
          <w:rFonts w:hint="eastAsia" w:ascii="宋体" w:hAnsi="宋体" w:eastAsia="宋体" w:cs="宋体"/>
          <w:bCs/>
          <w:color w:val="auto"/>
          <w:kern w:val="0"/>
          <w:sz w:val="24"/>
          <w:highlight w:val="none"/>
          <w:lang w:val="en-US" w:eastAsia="zh-CN"/>
        </w:rPr>
        <w:t>赤峰市医院</w:t>
      </w:r>
    </w:p>
    <w:p>
      <w:pPr>
        <w:adjustRightInd w:val="0"/>
        <w:snapToGrid w:val="0"/>
        <w:spacing w:line="300" w:lineRule="auto"/>
        <w:rPr>
          <w:rFonts w:hint="eastAsia" w:ascii="宋体" w:hAnsi="宋体" w:eastAsia="宋体" w:cs="宋体"/>
          <w:color w:val="auto"/>
          <w:sz w:val="24"/>
          <w:highlight w:val="none"/>
          <w:lang w:val="en-US"/>
        </w:rPr>
      </w:pPr>
      <w:r>
        <w:rPr>
          <w:rFonts w:hint="eastAsia" w:ascii="宋体" w:hAnsi="宋体" w:eastAsia="宋体" w:cs="宋体"/>
          <w:bCs/>
          <w:color w:val="auto"/>
          <w:kern w:val="0"/>
          <w:sz w:val="24"/>
          <w:highlight w:val="none"/>
        </w:rPr>
        <w:t>地址：</w:t>
      </w:r>
      <w:r>
        <w:rPr>
          <w:rFonts w:hint="eastAsia" w:ascii="宋体" w:hAnsi="宋体" w:eastAsia="宋体" w:cs="宋体"/>
          <w:bCs/>
          <w:color w:val="auto"/>
          <w:kern w:val="0"/>
          <w:sz w:val="24"/>
          <w:highlight w:val="none"/>
          <w:lang w:val="en-US" w:eastAsia="zh-CN"/>
        </w:rPr>
        <w:t>内蒙古自治区赤</w:t>
      </w:r>
      <w:r>
        <w:rPr>
          <w:rFonts w:hint="eastAsia" w:ascii="宋体" w:hAnsi="宋体" w:eastAsia="宋体" w:cs="宋体"/>
          <w:bCs/>
          <w:color w:val="auto"/>
          <w:kern w:val="0"/>
          <w:sz w:val="24"/>
          <w:highlight w:val="none"/>
          <w:lang w:val="en-US" w:eastAsia="zh-CN" w:bidi="ar-SA"/>
        </w:rPr>
        <w:t>峰市红山区昭乌达路中段1号</w:t>
      </w:r>
    </w:p>
    <w:p>
      <w:pPr>
        <w:spacing w:line="300" w:lineRule="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highlight w:val="none"/>
        </w:rPr>
        <w:t>联系方式：</w:t>
      </w:r>
      <w:r>
        <w:rPr>
          <w:rFonts w:hint="eastAsia" w:ascii="宋体" w:hAnsi="宋体" w:eastAsia="宋体" w:cs="宋体"/>
          <w:b w:val="0"/>
          <w:bCs w:val="0"/>
          <w:color w:val="auto"/>
          <w:kern w:val="2"/>
          <w:sz w:val="24"/>
          <w:szCs w:val="20"/>
          <w:highlight w:val="none"/>
          <w:lang w:val="en-US" w:eastAsia="zh-CN"/>
        </w:rPr>
        <w:t>高衡、</w:t>
      </w:r>
      <w:r>
        <w:rPr>
          <w:rFonts w:hint="eastAsia" w:ascii="宋体" w:hAnsi="宋体" w:eastAsia="宋体" w:cs="宋体"/>
          <w:color w:val="auto"/>
          <w:sz w:val="24"/>
          <w:highlight w:val="none"/>
          <w:lang w:val="en-US" w:eastAsia="zh-CN"/>
        </w:rPr>
        <w:t>王超越</w:t>
      </w:r>
      <w:r>
        <w:rPr>
          <w:rFonts w:hint="eastAsia" w:ascii="宋体" w:hAnsi="宋体" w:eastAsia="宋体" w:cs="宋体"/>
          <w:b w:val="0"/>
          <w:bCs w:val="0"/>
          <w:color w:val="auto"/>
          <w:kern w:val="2"/>
          <w:sz w:val="24"/>
          <w:szCs w:val="20"/>
          <w:highlight w:val="none"/>
          <w:lang w:val="en-US" w:eastAsia="zh-CN"/>
        </w:rPr>
        <w:t>，0476-8890631</w:t>
      </w:r>
      <w:r>
        <w:rPr>
          <w:rFonts w:hint="eastAsia" w:ascii="宋体" w:hAnsi="宋体" w:eastAsia="宋体" w:cs="宋体"/>
          <w:color w:val="auto"/>
          <w:sz w:val="24"/>
          <w:szCs w:val="24"/>
          <w:highlight w:val="none"/>
        </w:rPr>
        <w:t>　　　　　</w:t>
      </w:r>
    </w:p>
    <w:p>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pPr>
        <w:spacing w:line="30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名称：中国仪器进出口集团有限公司</w:t>
      </w:r>
    </w:p>
    <w:p>
      <w:pPr>
        <w:adjustRightInd w:val="0"/>
        <w:snapToGrid w:val="0"/>
        <w:spacing w:line="300" w:lineRule="auto"/>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地址：</w:t>
      </w:r>
      <w:r>
        <w:rPr>
          <w:rFonts w:hint="eastAsia" w:ascii="宋体" w:hAnsi="宋体" w:eastAsia="宋体" w:cs="宋体"/>
          <w:color w:val="auto"/>
          <w:sz w:val="24"/>
          <w:szCs w:val="24"/>
          <w:highlight w:val="none"/>
        </w:rPr>
        <w:t>北京市丰台区西营街1号院通用时代中心1区1号楼B座15层</w:t>
      </w:r>
    </w:p>
    <w:p>
      <w:pPr>
        <w:spacing w:line="300" w:lineRule="auto"/>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联系方式：</w:t>
      </w:r>
      <w:r>
        <w:rPr>
          <w:rFonts w:hint="eastAsia" w:ascii="宋体" w:hAnsi="宋体" w:eastAsia="宋体" w:cs="宋体"/>
          <w:color w:val="auto"/>
          <w:sz w:val="24"/>
          <w:highlight w:val="none"/>
        </w:rPr>
        <w:t>王颖杰、</w:t>
      </w:r>
      <w:r>
        <w:rPr>
          <w:rFonts w:hint="eastAsia" w:ascii="宋体" w:hAnsi="宋体" w:eastAsia="宋体" w:cs="宋体"/>
          <w:color w:val="auto"/>
          <w:sz w:val="24"/>
          <w:highlight w:val="none"/>
          <w:lang w:val="en-US" w:eastAsia="zh-CN"/>
        </w:rPr>
        <w:t>宁文秀</w:t>
      </w:r>
      <w:r>
        <w:rPr>
          <w:rFonts w:hint="eastAsia" w:ascii="宋体" w:hAnsi="宋体" w:eastAsia="宋体" w:cs="宋体"/>
          <w:color w:val="auto"/>
          <w:kern w:val="0"/>
          <w:sz w:val="24"/>
          <w:highlight w:val="none"/>
        </w:rPr>
        <w:t xml:space="preserve"> </w:t>
      </w:r>
    </w:p>
    <w:p>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rPr>
        <w:t>电话：</w:t>
      </w:r>
      <w:r>
        <w:rPr>
          <w:rFonts w:hint="eastAsia" w:ascii="宋体" w:hAnsi="宋体" w:eastAsia="宋体" w:cs="宋体"/>
          <w:color w:val="auto"/>
          <w:sz w:val="24"/>
          <w:highlight w:val="none"/>
        </w:rPr>
        <w:t>010-8</w:t>
      </w:r>
      <w:r>
        <w:rPr>
          <w:rFonts w:hint="eastAsia" w:ascii="宋体" w:hAnsi="宋体" w:eastAsia="宋体" w:cs="宋体"/>
          <w:color w:val="auto"/>
          <w:sz w:val="24"/>
          <w:highlight w:val="none"/>
          <w:lang w:val="en-US" w:eastAsia="zh-CN"/>
        </w:rPr>
        <w:t>1166243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010-8</w:t>
      </w:r>
      <w:r>
        <w:rPr>
          <w:rFonts w:hint="eastAsia" w:ascii="宋体" w:hAnsi="宋体" w:eastAsia="宋体" w:cs="宋体"/>
          <w:color w:val="auto"/>
          <w:sz w:val="24"/>
          <w:highlight w:val="none"/>
          <w:lang w:val="en-US" w:eastAsia="zh-CN"/>
        </w:rPr>
        <w:t>1166242</w:t>
      </w:r>
    </w:p>
    <w:p>
      <w:pPr>
        <w:snapToGrid w:val="0"/>
        <w:spacing w:line="300" w:lineRule="auto"/>
        <w:rPr>
          <w:rFonts w:hint="eastAsia" w:ascii="宋体" w:hAnsi="宋体" w:eastAsia="宋体" w:cs="宋体"/>
          <w:color w:val="auto"/>
          <w:sz w:val="24"/>
          <w:szCs w:val="24"/>
          <w:highlight w:val="none"/>
        </w:rPr>
      </w:pPr>
    </w:p>
    <w:p>
      <w:pPr>
        <w:pStyle w:val="2"/>
        <w:rPr>
          <w:rFonts w:hint="eastAsia" w:ascii="宋体" w:hAnsi="宋体" w:eastAsia="宋体" w:cs="宋体"/>
          <w:color w:val="auto"/>
          <w:highlight w:val="none"/>
        </w:rPr>
      </w:pPr>
    </w:p>
    <w:p>
      <w:pPr>
        <w:snapToGrid w:val="0"/>
        <w:spacing w:line="300" w:lineRule="auto"/>
        <w:ind w:firstLine="2168" w:firstLineChars="600"/>
        <w:rPr>
          <w:rFonts w:hint="eastAsia" w:ascii="宋体" w:hAnsi="宋体" w:eastAsia="宋体" w:cs="宋体"/>
          <w:color w:val="auto"/>
          <w:highlight w:val="none"/>
        </w:rPr>
      </w:pPr>
      <w:bookmarkStart w:id="37" w:name="_Toc377394448"/>
      <w:bookmarkStart w:id="38" w:name="_Toc210192416"/>
      <w:bookmarkStart w:id="39" w:name="_Toc352358147"/>
      <w:bookmarkStart w:id="40" w:name="_Toc276043871"/>
      <w:bookmarkStart w:id="41" w:name="_Toc352357933"/>
      <w:bookmarkStart w:id="42" w:name="_Toc232434653"/>
      <w:bookmarkStart w:id="43" w:name="_Toc239138574"/>
      <w:bookmarkStart w:id="44" w:name="_Toc374966488"/>
      <w:bookmarkStart w:id="45" w:name="_Toc250381446"/>
      <w:bookmarkStart w:id="46" w:name="_Toc379571892"/>
      <w:bookmarkStart w:id="47" w:name="_Toc25309"/>
      <w:bookmarkStart w:id="48" w:name="_Toc6769"/>
      <w:bookmarkStart w:id="49" w:name="_Toc27542"/>
      <w:bookmarkStart w:id="50" w:name="_Toc23817"/>
      <w:bookmarkStart w:id="51" w:name="_Toc6232"/>
      <w:bookmarkStart w:id="52" w:name="_Toc414456719"/>
      <w:bookmarkStart w:id="53" w:name="_Toc30851"/>
      <w:bookmarkStart w:id="54" w:name="_Toc25279"/>
      <w:bookmarkStart w:id="55" w:name="_Toc7600"/>
      <w:bookmarkStart w:id="56" w:name="_Toc27808"/>
      <w:bookmarkStart w:id="57" w:name="_Toc22616"/>
      <w:bookmarkStart w:id="58" w:name="_Toc2583"/>
      <w:bookmarkStart w:id="59" w:name="_Toc524092269"/>
      <w:bookmarkStart w:id="60" w:name="_Toc527379461"/>
      <w:bookmarkStart w:id="61" w:name="_Toc524092611"/>
      <w:bookmarkStart w:id="62" w:name="_Toc46304752"/>
      <w:bookmarkStart w:id="63" w:name="_Toc8845680"/>
      <w:bookmarkStart w:id="64" w:name="_Toc21854766"/>
      <w:bookmarkStart w:id="65" w:name="_Toc52417578"/>
      <w:bookmarkStart w:id="66" w:name="_Toc52503450"/>
      <w:bookmarkStart w:id="67" w:name="_Toc8845523"/>
      <w:bookmarkStart w:id="68" w:name="_Toc524092463"/>
      <w:bookmarkStart w:id="69" w:name="_Toc524703761"/>
      <w:bookmarkStart w:id="70" w:name="_Toc46107902"/>
      <w:bookmarkStart w:id="71" w:name="_Toc21854765"/>
      <w:bookmarkStart w:id="72" w:name="_Toc52503449"/>
      <w:bookmarkStart w:id="73" w:name="_Toc8845607"/>
      <w:bookmarkStart w:id="74" w:name="_Toc46107903"/>
      <w:bookmarkStart w:id="75" w:name="_Toc9303252"/>
      <w:bookmarkStart w:id="76" w:name="_Toc46304751"/>
      <w:bookmarkStart w:id="77" w:name="_Toc524089151"/>
      <w:bookmarkStart w:id="78" w:name="_Toc524092736"/>
      <w:r>
        <w:rPr>
          <w:rFonts w:hint="eastAsia" w:ascii="宋体" w:hAnsi="宋体" w:eastAsia="宋体" w:cs="宋体"/>
          <w:b/>
          <w:bCs/>
          <w:color w:val="auto"/>
          <w:sz w:val="36"/>
          <w:highlight w:val="none"/>
        </w:rPr>
        <w:t>第二章 供应商须知</w:t>
      </w:r>
      <w:bookmarkEnd w:id="37"/>
      <w:bookmarkEnd w:id="38"/>
      <w:bookmarkEnd w:id="39"/>
      <w:bookmarkEnd w:id="40"/>
      <w:bookmarkEnd w:id="41"/>
      <w:bookmarkEnd w:id="42"/>
      <w:bookmarkEnd w:id="43"/>
      <w:bookmarkEnd w:id="44"/>
      <w:bookmarkEnd w:id="45"/>
      <w:r>
        <w:rPr>
          <w:rFonts w:hint="eastAsia" w:ascii="宋体" w:hAnsi="宋体" w:eastAsia="宋体" w:cs="宋体"/>
          <w:b/>
          <w:bCs/>
          <w:color w:val="auto"/>
          <w:sz w:val="36"/>
          <w:highlight w:val="none"/>
        </w:rPr>
        <w:t>及资料表</w:t>
      </w:r>
      <w:bookmarkEnd w:id="46"/>
      <w:bookmarkEnd w:id="47"/>
      <w:bookmarkEnd w:id="48"/>
      <w:bookmarkEnd w:id="49"/>
      <w:bookmarkEnd w:id="50"/>
      <w:bookmarkEnd w:id="51"/>
      <w:bookmarkEnd w:id="52"/>
      <w:bookmarkEnd w:id="53"/>
      <w:bookmarkEnd w:id="54"/>
      <w:bookmarkEnd w:id="55"/>
      <w:bookmarkEnd w:id="56"/>
      <w:bookmarkEnd w:id="57"/>
      <w:bookmarkEnd w:id="58"/>
      <w:bookmarkStart w:id="79" w:name="_Toc210192417"/>
      <w:bookmarkStart w:id="80" w:name="_Toc276043872"/>
      <w:bookmarkStart w:id="81" w:name="_Toc20473"/>
      <w:bookmarkStart w:id="82" w:name="_Toc379571893"/>
      <w:bookmarkStart w:id="83" w:name="_Toc414456720"/>
      <w:bookmarkStart w:id="84" w:name="_Toc374966489"/>
      <w:bookmarkStart w:id="85" w:name="_Toc232434654"/>
      <w:bookmarkStart w:id="86" w:name="_Toc250381447"/>
      <w:bookmarkStart w:id="87" w:name="_Toc352357934"/>
      <w:bookmarkStart w:id="88" w:name="_Toc239138575"/>
      <w:bookmarkStart w:id="89" w:name="_Toc377394449"/>
      <w:bookmarkStart w:id="90" w:name="_Toc352358148"/>
      <w:bookmarkStart w:id="91" w:name="_Toc24281"/>
    </w:p>
    <w:p>
      <w:pPr>
        <w:pStyle w:val="5"/>
        <w:snapToGrid w:val="0"/>
        <w:spacing w:before="0" w:after="0" w:line="300" w:lineRule="auto"/>
        <w:jc w:val="center"/>
        <w:rPr>
          <w:rFonts w:hint="eastAsia" w:ascii="宋体" w:hAnsi="宋体" w:eastAsia="宋体" w:cs="宋体"/>
          <w:color w:val="auto"/>
          <w:highlight w:val="none"/>
        </w:rPr>
      </w:pPr>
      <w:bookmarkStart w:id="92" w:name="_Toc19948"/>
      <w:bookmarkStart w:id="93" w:name="_Toc16028"/>
      <w:bookmarkStart w:id="94" w:name="_Toc20643"/>
      <w:bookmarkStart w:id="95" w:name="_Toc28358"/>
      <w:bookmarkStart w:id="96" w:name="_Toc8852"/>
      <w:bookmarkStart w:id="97" w:name="_Toc26060"/>
      <w:bookmarkStart w:id="98" w:name="_Toc30104"/>
      <w:bookmarkStart w:id="99" w:name="_Toc19721"/>
      <w:bookmarkStart w:id="100" w:name="_Toc14557"/>
      <w:r>
        <w:rPr>
          <w:rFonts w:hint="eastAsia" w:ascii="宋体" w:hAnsi="宋体" w:eastAsia="宋体" w:cs="宋体"/>
          <w:color w:val="auto"/>
          <w:highlight w:val="none"/>
        </w:rPr>
        <w:t>第一部分 供应商须知资料表</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pPr>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（本表是对本章第三部分的补充和修改，本表格中的条款号与本章第三部分中的条款号相对应）</w:t>
      </w:r>
    </w:p>
    <w:tbl>
      <w:tblPr>
        <w:tblStyle w:val="28"/>
        <w:tblW w:w="9080" w:type="dxa"/>
        <w:tblInd w:w="0" w:type="dxa"/>
        <w:tblLayout w:type="fixed"/>
        <w:tblCellMar>
          <w:top w:w="0" w:type="dxa"/>
          <w:left w:w="5" w:type="dxa"/>
          <w:bottom w:w="0" w:type="dxa"/>
          <w:right w:w="0" w:type="dxa"/>
        </w:tblCellMar>
      </w:tblPr>
      <w:tblGrid>
        <w:gridCol w:w="1059"/>
        <w:gridCol w:w="8021"/>
      </w:tblGrid>
      <w:tr>
        <w:tblPrEx>
          <w:tblCellMar>
            <w:top w:w="0" w:type="dxa"/>
            <w:left w:w="5" w:type="dxa"/>
            <w:bottom w:w="0" w:type="dxa"/>
            <w:right w:w="0" w:type="dxa"/>
          </w:tblCellMar>
        </w:tblPrEx>
        <w:trPr>
          <w:tblHeader/>
        </w:trPr>
        <w:tc>
          <w:tcPr>
            <w:tcW w:w="1059" w:type="dxa"/>
            <w:tcBorders>
              <w:top w:val="single" w:color="000000" w:sz="4" w:space="0"/>
              <w:left w:val="single" w:color="000000" w:sz="4" w:space="0"/>
              <w:bottom w:val="single" w:color="000000" w:sz="4" w:space="0"/>
              <w:right w:val="single" w:color="000000" w:sz="4" w:space="0"/>
            </w:tcBorders>
          </w:tcPr>
          <w:p>
            <w:pPr>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条款号</w:t>
            </w:r>
          </w:p>
        </w:tc>
        <w:tc>
          <w:tcPr>
            <w:tcW w:w="8021" w:type="dxa"/>
            <w:tcBorders>
              <w:top w:val="single" w:color="000000" w:sz="4" w:space="0"/>
              <w:left w:val="single" w:color="000000" w:sz="4" w:space="0"/>
              <w:bottom w:val="single" w:color="000000" w:sz="4" w:space="0"/>
              <w:right w:val="single" w:color="000000" w:sz="4" w:space="0"/>
            </w:tcBorders>
          </w:tcPr>
          <w:p>
            <w:pPr>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内容</w:t>
            </w:r>
          </w:p>
        </w:tc>
      </w:tr>
      <w:tr>
        <w:tblPrEx>
          <w:tblCellMar>
            <w:top w:w="0" w:type="dxa"/>
            <w:left w:w="5" w:type="dxa"/>
            <w:bottom w:w="0" w:type="dxa"/>
            <w:right w:w="0" w:type="dxa"/>
          </w:tblCellMar>
        </w:tblPrEx>
        <w:trPr>
          <w:trHeight w:val="205" w:hRule="atLeast"/>
        </w:trPr>
        <w:tc>
          <w:tcPr>
            <w:tcW w:w="1059" w:type="dxa"/>
            <w:tcBorders>
              <w:top w:val="single" w:color="000000" w:sz="4" w:space="0"/>
              <w:left w:val="single" w:color="000000" w:sz="4" w:space="0"/>
              <w:bottom w:val="single" w:color="000000" w:sz="4" w:space="0"/>
              <w:right w:val="single" w:color="000000" w:sz="4" w:space="0"/>
            </w:tcBorders>
          </w:tcPr>
          <w:p>
            <w:pPr>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8021" w:type="dxa"/>
            <w:tcBorders>
              <w:top w:val="single" w:color="000000" w:sz="4" w:space="0"/>
              <w:left w:val="single" w:color="000000" w:sz="4" w:space="0"/>
              <w:bottom w:val="single" w:color="000000" w:sz="4" w:space="0"/>
              <w:right w:val="single" w:color="000000" w:sz="4" w:space="0"/>
            </w:tcBorders>
          </w:tcPr>
          <w:p>
            <w:pPr>
              <w:pStyle w:val="104"/>
              <w:snapToGrid w:val="0"/>
              <w:spacing w:line="30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采购人（单位）：</w:t>
            </w:r>
            <w:r>
              <w:rPr>
                <w:rFonts w:hint="eastAsia" w:ascii="宋体" w:hAnsi="宋体" w:eastAsia="宋体" w:cs="宋体"/>
                <w:color w:val="auto"/>
                <w:sz w:val="24"/>
                <w:szCs w:val="24"/>
                <w:highlight w:val="none"/>
              </w:rPr>
              <w:t>即：甲方、委托人、用户。</w:t>
            </w:r>
          </w:p>
          <w:p>
            <w:pPr>
              <w:pStyle w:val="104"/>
              <w:snapToGrid w:val="0"/>
              <w:spacing w:line="30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供应商（单位）</w:t>
            </w:r>
            <w:r>
              <w:rPr>
                <w:rFonts w:hint="eastAsia" w:ascii="宋体" w:hAnsi="宋体" w:eastAsia="宋体" w:cs="宋体"/>
                <w:color w:val="auto"/>
                <w:sz w:val="24"/>
                <w:szCs w:val="24"/>
                <w:highlight w:val="none"/>
              </w:rPr>
              <w:t>：即：乙方、服务商、响应人、应答人</w:t>
            </w:r>
          </w:p>
        </w:tc>
      </w:tr>
      <w:tr>
        <w:tblPrEx>
          <w:tblCellMar>
            <w:top w:w="0" w:type="dxa"/>
            <w:left w:w="5" w:type="dxa"/>
            <w:bottom w:w="0" w:type="dxa"/>
            <w:right w:w="0" w:type="dxa"/>
          </w:tblCellMar>
        </w:tblPrEx>
        <w:trPr>
          <w:trHeight w:val="425" w:hRule="atLeast"/>
        </w:trPr>
        <w:tc>
          <w:tcPr>
            <w:tcW w:w="1059" w:type="dxa"/>
            <w:tcBorders>
              <w:top w:val="single" w:color="000000" w:sz="4" w:space="0"/>
              <w:left w:val="single" w:color="000000" w:sz="4" w:space="0"/>
              <w:bottom w:val="single" w:color="000000" w:sz="4" w:space="0"/>
              <w:right w:val="single" w:color="000000" w:sz="4" w:space="0"/>
            </w:tcBorders>
          </w:tcPr>
          <w:p>
            <w:pPr>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p>
        </w:tc>
        <w:tc>
          <w:tcPr>
            <w:tcW w:w="8021" w:type="dxa"/>
            <w:tcBorders>
              <w:top w:val="single" w:color="000000" w:sz="4" w:space="0"/>
              <w:left w:val="single" w:color="000000" w:sz="4" w:space="0"/>
              <w:bottom w:val="single" w:color="000000" w:sz="4" w:space="0"/>
              <w:right w:val="single" w:color="000000" w:sz="4" w:space="0"/>
            </w:tcBorders>
          </w:tcPr>
          <w:p>
            <w:pPr>
              <w:pStyle w:val="104"/>
              <w:snapToGrid w:val="0"/>
              <w:spacing w:line="30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响应文件应包括：</w:t>
            </w:r>
            <w:r>
              <w:rPr>
                <w:rFonts w:hint="eastAsia" w:ascii="宋体" w:hAnsi="宋体" w:eastAsia="宋体" w:cs="宋体"/>
                <w:color w:val="auto"/>
                <w:sz w:val="24"/>
                <w:szCs w:val="24"/>
                <w:highlight w:val="none"/>
              </w:rPr>
              <w:t>所有磋商文件要求的内容和其他需补充的文件和资料。</w:t>
            </w:r>
          </w:p>
        </w:tc>
      </w:tr>
      <w:tr>
        <w:tblPrEx>
          <w:tblCellMar>
            <w:top w:w="0" w:type="dxa"/>
            <w:left w:w="5" w:type="dxa"/>
            <w:bottom w:w="0" w:type="dxa"/>
            <w:right w:w="0" w:type="dxa"/>
          </w:tblCellMar>
        </w:tblPrEx>
        <w:trPr>
          <w:trHeight w:val="489" w:hRule="atLeast"/>
        </w:trPr>
        <w:tc>
          <w:tcPr>
            <w:tcW w:w="1059" w:type="dxa"/>
            <w:tcBorders>
              <w:top w:val="single" w:color="000000" w:sz="4" w:space="0"/>
              <w:left w:val="single" w:color="000000" w:sz="4" w:space="0"/>
              <w:bottom w:val="single" w:color="000000" w:sz="4" w:space="0"/>
              <w:right w:val="single" w:color="000000" w:sz="4" w:space="0"/>
            </w:tcBorders>
          </w:tcPr>
          <w:p>
            <w:pPr>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8021" w:type="dxa"/>
            <w:tcBorders>
              <w:top w:val="single" w:color="000000" w:sz="4" w:space="0"/>
              <w:left w:val="single" w:color="000000" w:sz="4" w:space="0"/>
              <w:bottom w:val="single" w:color="000000" w:sz="4" w:space="0"/>
              <w:right w:val="single" w:color="000000" w:sz="4" w:space="0"/>
            </w:tcBorders>
          </w:tcPr>
          <w:p>
            <w:pPr>
              <w:pStyle w:val="104"/>
              <w:snapToGrid w:val="0"/>
              <w:spacing w:line="30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最终报价要求：</w:t>
            </w:r>
          </w:p>
          <w:p>
            <w:pPr>
              <w:pStyle w:val="104"/>
              <w:snapToGrid w:val="0"/>
              <w:spacing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（1）报价货币：人民币</w:t>
            </w:r>
          </w:p>
          <w:p>
            <w:pPr>
              <w:pStyle w:val="104"/>
              <w:snapToGrid w:val="0"/>
              <w:spacing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（2）报价范围：报价中须包括提供所有要求的服务的相关费用，且不能超过最高限价。</w:t>
            </w:r>
          </w:p>
          <w:p>
            <w:pPr>
              <w:pStyle w:val="104"/>
              <w:snapToGrid w:val="0"/>
              <w:spacing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（3）选择报价：不接受。</w:t>
            </w:r>
          </w:p>
        </w:tc>
      </w:tr>
      <w:tr>
        <w:tblPrEx>
          <w:tblCellMar>
            <w:top w:w="0" w:type="dxa"/>
            <w:left w:w="5" w:type="dxa"/>
            <w:bottom w:w="0" w:type="dxa"/>
            <w:right w:w="0" w:type="dxa"/>
          </w:tblCellMar>
        </w:tblPrEx>
        <w:trPr>
          <w:trHeight w:val="373" w:hRule="atLeast"/>
        </w:trPr>
        <w:tc>
          <w:tcPr>
            <w:tcW w:w="1059" w:type="dxa"/>
            <w:tcBorders>
              <w:top w:val="single" w:color="000000" w:sz="4" w:space="0"/>
              <w:left w:val="single" w:color="000000" w:sz="4" w:space="0"/>
              <w:bottom w:val="single" w:color="000000" w:sz="4" w:space="0"/>
              <w:right w:val="single" w:color="000000" w:sz="4" w:space="0"/>
            </w:tcBorders>
          </w:tcPr>
          <w:p>
            <w:pPr>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w:t>
            </w:r>
          </w:p>
        </w:tc>
        <w:tc>
          <w:tcPr>
            <w:tcW w:w="8021" w:type="dxa"/>
            <w:tcBorders>
              <w:top w:val="single" w:color="000000" w:sz="4" w:space="0"/>
              <w:left w:val="single" w:color="000000" w:sz="4" w:space="0"/>
              <w:bottom w:val="single" w:color="000000" w:sz="4" w:space="0"/>
              <w:right w:val="single" w:color="000000" w:sz="4" w:space="0"/>
            </w:tcBorders>
          </w:tcPr>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项目成果交付或服务地点：</w:t>
            </w:r>
            <w:r>
              <w:rPr>
                <w:rFonts w:hint="eastAsia" w:ascii="宋体" w:hAnsi="宋体" w:eastAsia="宋体" w:cs="宋体"/>
                <w:color w:val="auto"/>
                <w:sz w:val="24"/>
                <w:szCs w:val="24"/>
                <w:highlight w:val="none"/>
              </w:rPr>
              <w:t>按采购人要求</w:t>
            </w:r>
          </w:p>
        </w:tc>
      </w:tr>
      <w:tr>
        <w:tblPrEx>
          <w:tblCellMar>
            <w:top w:w="0" w:type="dxa"/>
            <w:left w:w="5" w:type="dxa"/>
            <w:bottom w:w="0" w:type="dxa"/>
            <w:right w:w="0" w:type="dxa"/>
          </w:tblCellMar>
        </w:tblPrEx>
        <w:trPr>
          <w:trHeight w:val="515" w:hRule="atLeast"/>
        </w:trPr>
        <w:tc>
          <w:tcPr>
            <w:tcW w:w="1059" w:type="dxa"/>
            <w:tcBorders>
              <w:top w:val="single" w:color="000000" w:sz="4" w:space="0"/>
              <w:left w:val="single" w:color="000000" w:sz="4" w:space="0"/>
              <w:bottom w:val="single" w:color="000000" w:sz="4" w:space="0"/>
              <w:right w:val="single" w:color="000000" w:sz="4" w:space="0"/>
            </w:tcBorders>
          </w:tcPr>
          <w:p>
            <w:pPr>
              <w:snapToGrid w:val="0"/>
              <w:spacing w:line="30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p>
        </w:tc>
        <w:tc>
          <w:tcPr>
            <w:tcW w:w="8021" w:type="dxa"/>
            <w:tcBorders>
              <w:top w:val="single" w:color="000000" w:sz="4" w:space="0"/>
              <w:left w:val="single" w:color="000000" w:sz="4" w:space="0"/>
              <w:bottom w:val="single" w:color="000000" w:sz="4" w:space="0"/>
              <w:right w:val="single" w:color="000000" w:sz="4" w:space="0"/>
            </w:tcBorders>
          </w:tcPr>
          <w:p>
            <w:pPr>
              <w:snapToGrid w:val="0"/>
              <w:spacing w:line="30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供应商应提供下述资格文件，否则其响应文件可被拒绝： </w:t>
            </w:r>
          </w:p>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"_Toc5157" </w:instrText>
            </w:r>
            <w:r>
              <w:rPr>
                <w:rFonts w:hint="eastAsia" w:ascii="宋体" w:hAnsi="宋体" w:eastAsia="宋体" w:cs="宋体"/>
                <w:color w:val="auto"/>
                <w:highlight w:val="none"/>
              </w:rPr>
              <w:fldChar w:fldCharType="separate"/>
            </w:r>
            <w:r>
              <w:rPr>
                <w:rStyle w:val="195"/>
                <w:rFonts w:hint="eastAsia" w:ascii="宋体" w:hAnsi="宋体" w:eastAsia="宋体" w:cs="宋体"/>
                <w:color w:val="auto"/>
                <w:highlight w:val="none"/>
              </w:rPr>
              <w:t>1.1 合格的响应函</w:t>
            </w:r>
            <w:r>
              <w:rPr>
                <w:rStyle w:val="195"/>
                <w:rFonts w:hint="eastAsia" w:ascii="宋体" w:hAnsi="宋体" w:eastAsia="宋体" w:cs="宋体"/>
                <w:color w:val="auto"/>
                <w:highlight w:val="none"/>
              </w:rPr>
              <w:fldChar w:fldCharType="end"/>
            </w:r>
          </w:p>
          <w:p>
            <w:pPr>
              <w:snapToGrid w:val="0"/>
              <w:spacing w:line="300" w:lineRule="auto"/>
              <w:rPr>
                <w:rStyle w:val="195"/>
                <w:rFonts w:hint="eastAsia" w:ascii="宋体" w:hAnsi="宋体" w:eastAsia="宋体" w:cs="宋体"/>
                <w:color w:val="auto"/>
                <w:highlight w:val="none"/>
              </w:rPr>
            </w:pPr>
            <w:r>
              <w:rPr>
                <w:rStyle w:val="195"/>
                <w:rFonts w:hint="eastAsia" w:ascii="宋体" w:hAnsi="宋体" w:eastAsia="宋体" w:cs="宋体"/>
                <w:color w:val="auto"/>
                <w:highlight w:val="none"/>
              </w:rPr>
              <w:t>1.2 合格的响应单位法定代表人授权书（原件）</w:t>
            </w:r>
          </w:p>
          <w:p>
            <w:pPr>
              <w:snapToGrid w:val="0"/>
              <w:spacing w:line="300" w:lineRule="auto"/>
              <w:rPr>
                <w:rStyle w:val="195"/>
                <w:rFonts w:hint="eastAsia" w:ascii="宋体" w:hAnsi="宋体" w:eastAsia="宋体" w:cs="宋体"/>
                <w:b w:val="0"/>
                <w:bCs w:val="0"/>
                <w:color w:val="auto"/>
                <w:highlight w:val="none"/>
              </w:rPr>
            </w:pPr>
            <w:r>
              <w:rPr>
                <w:rStyle w:val="195"/>
                <w:rFonts w:hint="eastAsia" w:ascii="宋体" w:hAnsi="宋体" w:eastAsia="宋体" w:cs="宋体"/>
                <w:b w:val="0"/>
                <w:bCs w:val="0"/>
                <w:color w:val="auto"/>
                <w:highlight w:val="none"/>
              </w:rPr>
              <w:t>法人（自然人除外）参与时，需提供合格的法定代表人授权书（原件），法定代表人自身签署全部相关文件的除外。</w:t>
            </w:r>
          </w:p>
          <w:p>
            <w:pPr>
              <w:snapToGrid w:val="0"/>
              <w:spacing w:line="300" w:lineRule="auto"/>
              <w:rPr>
                <w:rStyle w:val="195"/>
                <w:rFonts w:hint="eastAsia" w:ascii="宋体" w:hAnsi="宋体" w:eastAsia="宋体" w:cs="宋体"/>
                <w:b w:val="0"/>
                <w:bCs w:val="0"/>
                <w:color w:val="auto"/>
                <w:highlight w:val="none"/>
              </w:rPr>
            </w:pPr>
            <w:r>
              <w:rPr>
                <w:rStyle w:val="195"/>
                <w:rFonts w:hint="eastAsia" w:ascii="宋体" w:hAnsi="宋体" w:eastAsia="宋体" w:cs="宋体"/>
                <w:b w:val="0"/>
                <w:bCs w:val="0"/>
                <w:color w:val="auto"/>
                <w:highlight w:val="none"/>
              </w:rPr>
              <w:t>其他组织（自然人除外）参与时，需提供合格的负责人授权书（原件），负责人自身签署全部相关文件的除外。（“负责人”指响应单位注册文件中规定的负责人）</w:t>
            </w:r>
          </w:p>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"_Toc31963" </w:instrText>
            </w:r>
            <w:r>
              <w:rPr>
                <w:rFonts w:hint="eastAsia" w:ascii="宋体" w:hAnsi="宋体" w:eastAsia="宋体" w:cs="宋体"/>
                <w:color w:val="auto"/>
                <w:highlight w:val="none"/>
              </w:rPr>
              <w:fldChar w:fldCharType="separate"/>
            </w:r>
            <w:r>
              <w:rPr>
                <w:rStyle w:val="195"/>
                <w:rFonts w:hint="eastAsia" w:ascii="宋体" w:hAnsi="宋体" w:eastAsia="宋体" w:cs="宋体"/>
                <w:color w:val="auto"/>
                <w:highlight w:val="none"/>
              </w:rPr>
              <w:t>1.3 合格的代理服务费承诺函</w:t>
            </w:r>
            <w:r>
              <w:rPr>
                <w:rStyle w:val="195"/>
                <w:rFonts w:hint="eastAsia" w:ascii="宋体" w:hAnsi="宋体" w:eastAsia="宋体" w:cs="宋体"/>
                <w:color w:val="auto"/>
                <w:highlight w:val="none"/>
              </w:rPr>
              <w:fldChar w:fldCharType="end"/>
            </w:r>
          </w:p>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"_Toc23343" </w:instrText>
            </w:r>
            <w:r>
              <w:rPr>
                <w:rFonts w:hint="eastAsia" w:ascii="宋体" w:hAnsi="宋体" w:eastAsia="宋体" w:cs="宋体"/>
                <w:color w:val="auto"/>
                <w:highlight w:val="none"/>
              </w:rPr>
              <w:fldChar w:fldCharType="separate"/>
            </w:r>
            <w:r>
              <w:rPr>
                <w:rStyle w:val="195"/>
                <w:rFonts w:hint="eastAsia" w:ascii="宋体" w:hAnsi="宋体" w:eastAsia="宋体" w:cs="宋体"/>
                <w:color w:val="auto"/>
                <w:highlight w:val="none"/>
              </w:rPr>
              <w:t>1.4 参加本次采购活动前三年内在经营活动中没有重大违法记录的声明</w:t>
            </w:r>
            <w:r>
              <w:rPr>
                <w:rStyle w:val="195"/>
                <w:rFonts w:hint="eastAsia" w:ascii="宋体" w:hAnsi="宋体" w:eastAsia="宋体" w:cs="宋体"/>
                <w:color w:val="auto"/>
                <w:highlight w:val="none"/>
              </w:rPr>
              <w:fldChar w:fldCharType="end"/>
            </w:r>
          </w:p>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供应商参加本次采购活动前三年内，在经营活动中没有重大违法记录。</w:t>
            </w:r>
          </w:p>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重大违法记录，是指供应商因违法经营受到刑事处罚或者责令停产停业、吊销许可证或者执照、较大数额罚款等行政处罚)。</w:t>
            </w:r>
          </w:p>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"_Toc16139" </w:instrText>
            </w:r>
            <w:r>
              <w:rPr>
                <w:rFonts w:hint="eastAsia" w:ascii="宋体" w:hAnsi="宋体" w:eastAsia="宋体" w:cs="宋体"/>
                <w:color w:val="auto"/>
                <w:highlight w:val="none"/>
              </w:rPr>
              <w:fldChar w:fldCharType="separate"/>
            </w:r>
            <w:r>
              <w:rPr>
                <w:rStyle w:val="195"/>
                <w:rFonts w:hint="eastAsia" w:ascii="宋体" w:hAnsi="宋体" w:eastAsia="宋体" w:cs="宋体"/>
                <w:color w:val="auto"/>
                <w:highlight w:val="none"/>
              </w:rPr>
              <w:t>1.5 具有独立承担民事责任能力的证明文件</w:t>
            </w:r>
            <w:r>
              <w:rPr>
                <w:rStyle w:val="195"/>
                <w:rFonts w:hint="eastAsia" w:ascii="宋体" w:hAnsi="宋体" w:eastAsia="宋体" w:cs="宋体"/>
                <w:color w:val="auto"/>
                <w:highlight w:val="none"/>
              </w:rPr>
              <w:fldChar w:fldCharType="end"/>
            </w:r>
          </w:p>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提供法人或者其他组织的营业执照等证明文件，自然人的身份证明；（例如供应商的营业执照副本复印件或法人（登记）证书副本复印件，前述证书需在有效期内、应清晰可辨）。</w:t>
            </w:r>
          </w:p>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"_Toc9696" </w:instrText>
            </w:r>
            <w:r>
              <w:rPr>
                <w:rFonts w:hint="eastAsia" w:ascii="宋体" w:hAnsi="宋体" w:eastAsia="宋体" w:cs="宋体"/>
                <w:color w:val="auto"/>
                <w:highlight w:val="none"/>
              </w:rPr>
              <w:fldChar w:fldCharType="separate"/>
            </w:r>
            <w:r>
              <w:rPr>
                <w:rStyle w:val="195"/>
                <w:rFonts w:hint="eastAsia" w:ascii="宋体" w:hAnsi="宋体" w:eastAsia="宋体" w:cs="宋体"/>
                <w:color w:val="auto"/>
                <w:highlight w:val="none"/>
              </w:rPr>
              <w:t>1.6 依法缴纳税收和社会保障资金记录</w:t>
            </w:r>
            <w:r>
              <w:rPr>
                <w:rStyle w:val="195"/>
                <w:rFonts w:hint="eastAsia" w:ascii="宋体" w:hAnsi="宋体" w:eastAsia="宋体" w:cs="宋体"/>
                <w:color w:val="auto"/>
                <w:highlight w:val="none"/>
              </w:rPr>
              <w:fldChar w:fldCharType="end"/>
            </w:r>
          </w:p>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近六个月内</w:t>
            </w:r>
            <w:r>
              <w:rPr>
                <w:rFonts w:hint="eastAsia" w:ascii="宋体" w:hAnsi="宋体" w:eastAsia="宋体" w:cs="宋体"/>
                <w:color w:val="auto"/>
                <w:sz w:val="24"/>
                <w:szCs w:val="24"/>
                <w:highlight w:val="none"/>
              </w:rPr>
              <w:t>任何一个月依法缴纳社会保障资金的证明单据的复印件，和</w:t>
            </w:r>
            <w:r>
              <w:rPr>
                <w:rFonts w:hint="eastAsia" w:ascii="宋体" w:hAnsi="宋体" w:eastAsia="宋体" w:cs="宋体"/>
                <w:color w:val="auto"/>
                <w:sz w:val="24"/>
                <w:szCs w:val="24"/>
                <w:highlight w:val="none"/>
                <w:lang w:val="en-US" w:eastAsia="zh-CN"/>
              </w:rPr>
              <w:t>近六个月</w:t>
            </w:r>
            <w:r>
              <w:rPr>
                <w:rFonts w:hint="eastAsia" w:ascii="宋体" w:hAnsi="宋体" w:eastAsia="宋体" w:cs="宋体"/>
                <w:color w:val="auto"/>
                <w:sz w:val="24"/>
                <w:szCs w:val="24"/>
                <w:highlight w:val="none"/>
              </w:rPr>
              <w:t>内任何一个月依法缴纳税收的证明单据的复印件。依法免税或不需要缴纳社会保障资金的供应商，应提供相应文件证明其依法免税或不需要缴纳社会保障资金。</w:t>
            </w:r>
          </w:p>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"_Toc19792" </w:instrText>
            </w:r>
            <w:r>
              <w:rPr>
                <w:rFonts w:hint="eastAsia" w:ascii="宋体" w:hAnsi="宋体" w:eastAsia="宋体" w:cs="宋体"/>
                <w:color w:val="auto"/>
                <w:highlight w:val="none"/>
              </w:rPr>
              <w:fldChar w:fldCharType="separate"/>
            </w:r>
            <w:r>
              <w:rPr>
                <w:rStyle w:val="195"/>
                <w:rFonts w:hint="eastAsia" w:ascii="宋体" w:hAnsi="宋体" w:eastAsia="宋体" w:cs="宋体"/>
                <w:color w:val="auto"/>
                <w:highlight w:val="none"/>
              </w:rPr>
              <w:t>1.7 审计报告或银行资信证明</w:t>
            </w:r>
            <w:r>
              <w:rPr>
                <w:rStyle w:val="195"/>
                <w:rFonts w:hint="eastAsia" w:ascii="宋体" w:hAnsi="宋体" w:eastAsia="宋体" w:cs="宋体"/>
                <w:color w:val="auto"/>
                <w:highlight w:val="none"/>
              </w:rPr>
              <w:fldChar w:fldCharType="end"/>
            </w:r>
          </w:p>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会计师事务所出具的202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年度的财务审计报告复印件或202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年内的银行资信证明（原件或复印件）。</w:t>
            </w:r>
          </w:p>
          <w:p>
            <w:pPr>
              <w:adjustRightInd w:val="0"/>
              <w:snapToGrid w:val="0"/>
              <w:spacing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“信用中国”、“中国政府采购网”网站查询结果承诺</w:t>
            </w:r>
          </w:p>
          <w:p>
            <w:pPr>
              <w:wordWrap w:val="0"/>
              <w:adjustRightInd w:val="0"/>
              <w:snapToGrid w:val="0"/>
              <w:spacing w:line="300" w:lineRule="auto"/>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供应商应承诺到磋商截止日之时未被列入“信用中国”网站(www.creditchina.gov.cn)失信惩戒当事人名单及“中国政府采购网”网站（www.ccgp.gov.cn）政府采购严重违法失信行为记录名单。</w:t>
            </w:r>
          </w:p>
          <w:p>
            <w:pPr>
              <w:adjustRightInd w:val="0"/>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不能是被列入“信用中国”网站(www.creditchina.gov.cn)失信惩戒的供应商，不能是被列入“中国政府采购网”网站（www.ccgp.gov.cn）政府采购严重违法失信行为记录名单中仍在处罚期被禁止参加政府采购活动的供应商。</w:t>
            </w:r>
          </w:p>
          <w:p>
            <w:pPr>
              <w:adjustRightInd w:val="0"/>
              <w:snapToGrid w:val="0"/>
              <w:spacing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响应单位应承诺未违反《中华人民共和国政府采购法实施条例》第十八条的规定。</w:t>
            </w:r>
          </w:p>
          <w:p>
            <w:pPr>
              <w:adjustRightInd w:val="0"/>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adjustRightInd w:val="0"/>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《中华人民共和国政府采购法实施条例》</w:t>
            </w:r>
          </w:p>
          <w:p>
            <w:pPr>
              <w:numPr>
                <w:ilvl w:val="-1"/>
                <w:numId w:val="0"/>
              </w:numPr>
              <w:adjustRightInd w:val="0"/>
              <w:snapToGrid w:val="0"/>
              <w:spacing w:line="30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 xml:space="preserve">第十八条 </w:t>
            </w:r>
            <w:r>
              <w:rPr>
                <w:rFonts w:hint="eastAsia" w:ascii="宋体" w:hAnsi="宋体" w:eastAsia="宋体" w:cs="宋体"/>
                <w:color w:val="auto"/>
                <w:sz w:val="24"/>
                <w:szCs w:val="24"/>
                <w:highlight w:val="none"/>
              </w:rPr>
              <w:t>单位负责人为同一人或者存在直接控股、管理关系的不同供应商，不得参加同一合同项下的政府采购活动。</w:t>
            </w:r>
          </w:p>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（二）供应商应符合如下规定，</w:t>
            </w:r>
            <w:r>
              <w:rPr>
                <w:rFonts w:hint="eastAsia" w:ascii="宋体" w:hAnsi="宋体" w:eastAsia="宋体" w:cs="宋体"/>
                <w:b/>
                <w:color w:val="auto"/>
                <w:sz w:val="24"/>
                <w:szCs w:val="24"/>
                <w:highlight w:val="none"/>
              </w:rPr>
              <w:t xml:space="preserve">否则其响应文件将被拒绝： </w:t>
            </w:r>
          </w:p>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2.1供应商不是联合体。</w:t>
            </w:r>
          </w:p>
          <w:p>
            <w:pPr>
              <w:snapToGrid w:val="0"/>
              <w:spacing w:line="30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2.2供应商应按规定到采购代理机构购买磋商文件并登记备案。</w:t>
            </w:r>
          </w:p>
        </w:tc>
      </w:tr>
      <w:tr>
        <w:tblPrEx>
          <w:tblCellMar>
            <w:top w:w="0" w:type="dxa"/>
            <w:left w:w="5" w:type="dxa"/>
            <w:bottom w:w="0" w:type="dxa"/>
            <w:right w:w="0" w:type="dxa"/>
          </w:tblCellMar>
        </w:tblPrEx>
        <w:trPr>
          <w:trHeight w:val="349" w:hRule="atLeast"/>
        </w:trPr>
        <w:tc>
          <w:tcPr>
            <w:tcW w:w="1059" w:type="dxa"/>
            <w:tcBorders>
              <w:top w:val="single" w:color="000000" w:sz="4" w:space="0"/>
              <w:left w:val="single" w:color="000000" w:sz="4" w:space="0"/>
              <w:bottom w:val="single" w:color="000000" w:sz="4" w:space="0"/>
              <w:right w:val="single" w:color="000000" w:sz="4" w:space="0"/>
            </w:tcBorders>
          </w:tcPr>
          <w:p>
            <w:pPr>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10.2</w:t>
            </w:r>
          </w:p>
        </w:tc>
        <w:tc>
          <w:tcPr>
            <w:tcW w:w="8021" w:type="dxa"/>
            <w:tcBorders>
              <w:top w:val="single" w:color="000000" w:sz="4" w:space="0"/>
              <w:left w:val="single" w:color="000000" w:sz="4" w:space="0"/>
              <w:bottom w:val="single" w:color="000000" w:sz="4" w:space="0"/>
              <w:right w:val="single" w:color="000000" w:sz="4" w:space="0"/>
            </w:tcBorders>
          </w:tcPr>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对联合体的要求：</w:t>
            </w:r>
            <w:r>
              <w:rPr>
                <w:rFonts w:hint="eastAsia" w:ascii="宋体" w:hAnsi="宋体" w:eastAsia="宋体" w:cs="宋体"/>
                <w:color w:val="auto"/>
                <w:sz w:val="24"/>
                <w:szCs w:val="24"/>
                <w:highlight w:val="none"/>
              </w:rPr>
              <w:t>不接受联合体。</w:t>
            </w:r>
          </w:p>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对转让、转包的要求：</w:t>
            </w:r>
            <w:r>
              <w:rPr>
                <w:rFonts w:hint="eastAsia" w:ascii="宋体" w:hAnsi="宋体" w:eastAsia="宋体" w:cs="宋体"/>
                <w:color w:val="auto"/>
                <w:sz w:val="24"/>
                <w:szCs w:val="24"/>
                <w:highlight w:val="none"/>
              </w:rPr>
              <w:t>不允许将采购合同转让、转包给他人。</w:t>
            </w:r>
          </w:p>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对分包的要求：</w:t>
            </w:r>
            <w:r>
              <w:rPr>
                <w:rFonts w:hint="eastAsia" w:ascii="宋体" w:hAnsi="宋体" w:eastAsia="宋体" w:cs="宋体"/>
                <w:color w:val="auto"/>
                <w:sz w:val="24"/>
                <w:szCs w:val="24"/>
                <w:highlight w:val="none"/>
              </w:rPr>
              <w:t>除非采购人允许，不允许分包。</w:t>
            </w:r>
          </w:p>
        </w:tc>
      </w:tr>
      <w:tr>
        <w:tblPrEx>
          <w:tblCellMar>
            <w:top w:w="0" w:type="dxa"/>
            <w:left w:w="5" w:type="dxa"/>
            <w:bottom w:w="0" w:type="dxa"/>
            <w:right w:w="0" w:type="dxa"/>
          </w:tblCellMar>
        </w:tblPrEx>
        <w:tc>
          <w:tcPr>
            <w:tcW w:w="1059" w:type="dxa"/>
            <w:tcBorders>
              <w:top w:val="single" w:color="000000" w:sz="4" w:space="0"/>
              <w:left w:val="single" w:color="000000" w:sz="4" w:space="0"/>
              <w:bottom w:val="single" w:color="000000" w:sz="4" w:space="0"/>
              <w:right w:val="single" w:color="000000" w:sz="4" w:space="0"/>
            </w:tcBorders>
          </w:tcPr>
          <w:p>
            <w:pPr>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8021" w:type="dxa"/>
            <w:tcBorders>
              <w:top w:val="single" w:color="000000" w:sz="4" w:space="0"/>
              <w:left w:val="single" w:color="000000" w:sz="4" w:space="0"/>
              <w:bottom w:val="single" w:color="000000" w:sz="4" w:space="0"/>
              <w:right w:val="single" w:color="000000" w:sz="4" w:space="0"/>
            </w:tcBorders>
          </w:tcPr>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响应文件有效期</w:t>
            </w:r>
            <w:r>
              <w:rPr>
                <w:rFonts w:hint="eastAsia" w:ascii="宋体" w:hAnsi="宋体" w:eastAsia="宋体" w:cs="宋体"/>
                <w:color w:val="auto"/>
                <w:sz w:val="24"/>
                <w:szCs w:val="24"/>
                <w:highlight w:val="none"/>
              </w:rPr>
              <w:t>：自响应文件递交截止日期之日起90日。</w:t>
            </w:r>
          </w:p>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不满足上述要求的响应文件将被拒绝。</w:t>
            </w:r>
          </w:p>
        </w:tc>
      </w:tr>
      <w:tr>
        <w:tblPrEx>
          <w:tblCellMar>
            <w:top w:w="0" w:type="dxa"/>
            <w:left w:w="5" w:type="dxa"/>
            <w:bottom w:w="0" w:type="dxa"/>
            <w:right w:w="0" w:type="dxa"/>
          </w:tblCellMar>
        </w:tblPrEx>
        <w:tc>
          <w:tcPr>
            <w:tcW w:w="1059" w:type="dxa"/>
            <w:tcBorders>
              <w:top w:val="single" w:color="000000" w:sz="4" w:space="0"/>
              <w:left w:val="single" w:color="000000" w:sz="4" w:space="0"/>
              <w:bottom w:val="single" w:color="000000" w:sz="4" w:space="0"/>
              <w:right w:val="single" w:color="000000" w:sz="4" w:space="0"/>
            </w:tcBorders>
          </w:tcPr>
          <w:p>
            <w:pPr>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8021" w:type="dxa"/>
            <w:tcBorders>
              <w:top w:val="single" w:color="000000" w:sz="4" w:space="0"/>
              <w:left w:val="single" w:color="000000" w:sz="4" w:space="0"/>
              <w:bottom w:val="single" w:color="000000" w:sz="4" w:space="0"/>
              <w:right w:val="single" w:color="000000" w:sz="4" w:space="0"/>
            </w:tcBorders>
          </w:tcPr>
          <w:p>
            <w:pPr>
              <w:pStyle w:val="48"/>
              <w:snapToGrid w:val="0"/>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保证金金额：人民币</w:t>
            </w:r>
            <w:r>
              <w:rPr>
                <w:rFonts w:hint="eastAsia" w:ascii="宋体" w:hAnsi="宋体" w:eastAsia="宋体" w:cs="宋体"/>
                <w:color w:val="auto"/>
                <w:highlight w:val="none"/>
                <w:lang w:val="en-US" w:eastAsia="zh-CN"/>
              </w:rPr>
              <w:t>0.1552</w:t>
            </w:r>
            <w:r>
              <w:rPr>
                <w:rFonts w:hint="eastAsia" w:ascii="宋体" w:hAnsi="宋体" w:eastAsia="宋体" w:cs="宋体"/>
                <w:color w:val="auto"/>
                <w:highlight w:val="none"/>
              </w:rPr>
              <w:t>万元。</w:t>
            </w:r>
          </w:p>
          <w:p>
            <w:pPr>
              <w:snapToGrid w:val="0"/>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保证金的有效期：自响应文件递交截止日期之日起90日。</w:t>
            </w:r>
          </w:p>
          <w:p>
            <w:pPr>
              <w:snapToGrid w:val="0"/>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不满足上述要求的响应文件将被拒绝。</w:t>
            </w:r>
          </w:p>
          <w:p>
            <w:pPr>
              <w:snapToGrid w:val="0"/>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采购代理机构银行账户：</w:t>
            </w:r>
          </w:p>
          <w:p>
            <w:pPr>
              <w:snapToGrid w:val="0"/>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开户银行：中信银行北京金运大厦支行</w:t>
            </w:r>
          </w:p>
          <w:p>
            <w:pPr>
              <w:snapToGrid w:val="0"/>
              <w:spacing w:line="30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开户名：中国仪器进出口集团有限公司</w:t>
            </w:r>
          </w:p>
          <w:p>
            <w:pPr>
              <w:snapToGrid w:val="0"/>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人民币账号：8110 7010 1400 2020 957</w:t>
            </w:r>
          </w:p>
          <w:p>
            <w:pPr>
              <w:snapToGrid w:val="0"/>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（不符合上述要求的投标为无效投标）</w:t>
            </w:r>
          </w:p>
        </w:tc>
      </w:tr>
      <w:tr>
        <w:tblPrEx>
          <w:tblCellMar>
            <w:top w:w="0" w:type="dxa"/>
            <w:left w:w="5" w:type="dxa"/>
            <w:bottom w:w="0" w:type="dxa"/>
            <w:right w:w="0" w:type="dxa"/>
          </w:tblCellMar>
        </w:tblPrEx>
        <w:trPr>
          <w:trHeight w:val="620" w:hRule="atLeast"/>
        </w:trPr>
        <w:tc>
          <w:tcPr>
            <w:tcW w:w="1059" w:type="dxa"/>
            <w:tcBorders>
              <w:top w:val="single" w:color="000000" w:sz="4" w:space="0"/>
              <w:left w:val="single" w:color="000000" w:sz="4" w:space="0"/>
              <w:bottom w:val="single" w:color="000000" w:sz="4" w:space="0"/>
              <w:right w:val="single" w:color="000000" w:sz="4" w:space="0"/>
            </w:tcBorders>
          </w:tcPr>
          <w:p>
            <w:pPr>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w:t>
            </w:r>
          </w:p>
        </w:tc>
        <w:tc>
          <w:tcPr>
            <w:tcW w:w="8021" w:type="dxa"/>
            <w:tcBorders>
              <w:top w:val="single" w:color="000000" w:sz="4" w:space="0"/>
              <w:left w:val="single" w:color="000000" w:sz="4" w:space="0"/>
              <w:bottom w:val="single" w:color="000000" w:sz="4" w:space="0"/>
              <w:right w:val="single" w:color="000000" w:sz="4" w:space="0"/>
            </w:tcBorders>
          </w:tcPr>
          <w:p>
            <w:pPr>
              <w:pStyle w:val="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保证金须采用以下形式：</w:t>
            </w:r>
            <w:r>
              <w:rPr>
                <w:rFonts w:hint="eastAsia" w:ascii="宋体" w:hAnsi="宋体" w:eastAsia="宋体" w:cs="宋体"/>
                <w:color w:val="auto"/>
                <w:sz w:val="24"/>
                <w:szCs w:val="24"/>
                <w:highlight w:val="none"/>
              </w:rPr>
              <w:t>以采购代理机构为受益人的有效电汇（必须在递交响应文件截止时间前汇到采购代理机构账户且显账；如递交响应文件截止时未被采购代理机构的开户银行确认到账，将被视为响应单位未提供保证金）、或银行担保函；</w:t>
            </w:r>
            <w:r>
              <w:rPr>
                <w:rFonts w:hint="eastAsia" w:ascii="宋体" w:hAnsi="宋体" w:eastAsia="宋体" w:cs="宋体"/>
                <w:b/>
                <w:color w:val="auto"/>
                <w:sz w:val="24"/>
                <w:szCs w:val="24"/>
                <w:highlight w:val="none"/>
              </w:rPr>
              <w:t>但不接受以现金形式作为保证金。</w:t>
            </w:r>
            <w:r>
              <w:rPr>
                <w:rFonts w:hint="eastAsia" w:ascii="宋体" w:hAnsi="宋体" w:eastAsia="宋体" w:cs="宋体"/>
                <w:color w:val="auto"/>
                <w:sz w:val="24"/>
                <w:szCs w:val="24"/>
                <w:highlight w:val="none"/>
              </w:rPr>
              <w:t>以汇款形式提交的保证金应当从响应单位的账户转出。任何不按磋商文件要求开出的保函，都将被视为不合格的保证金。该响应文件将被拒绝。</w:t>
            </w:r>
            <w:r>
              <w:rPr>
                <w:rFonts w:hint="eastAsia" w:ascii="宋体" w:hAnsi="宋体" w:eastAsia="宋体" w:cs="宋体"/>
                <w:color w:val="auto"/>
                <w:sz w:val="24"/>
                <w:szCs w:val="24"/>
                <w:highlight w:val="none"/>
              </w:rPr>
              <w:br w:type="textWrapping"/>
            </w:r>
            <w:r>
              <w:rPr>
                <w:rFonts w:hint="eastAsia" w:ascii="宋体" w:hAnsi="宋体" w:eastAsia="宋体" w:cs="宋体"/>
                <w:b/>
                <w:color w:val="auto"/>
                <w:sz w:val="24"/>
                <w:szCs w:val="24"/>
                <w:highlight w:val="none"/>
              </w:rPr>
              <w:t>（不符合上述要求的响应文件将被拒绝）</w:t>
            </w:r>
          </w:p>
          <w:p>
            <w:pPr>
              <w:pStyle w:val="16"/>
              <w:rPr>
                <w:rFonts w:hint="eastAsia" w:ascii="宋体" w:hAnsi="宋体" w:eastAsia="宋体" w:cs="宋体"/>
                <w:b/>
                <w:color w:val="auto"/>
                <w:sz w:val="24"/>
                <w:szCs w:val="24"/>
                <w:highlight w:val="none"/>
              </w:rPr>
            </w:pPr>
          </w:p>
          <w:p>
            <w:pPr>
              <w:pStyle w:val="16"/>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注1.响应单位电汇保证金时，需在汇款单据的摘要、或用途、或备注中，标明项目编号：“</w:t>
            </w:r>
            <w:r>
              <w:rPr>
                <w:rFonts w:hint="eastAsia" w:ascii="宋体" w:hAnsi="宋体" w:eastAsia="宋体" w:cs="宋体"/>
                <w:b/>
                <w:color w:val="auto"/>
                <w:sz w:val="24"/>
                <w:szCs w:val="24"/>
                <w:highlight w:val="none"/>
                <w:u w:val="single"/>
                <w:lang w:eastAsia="zh-CN"/>
              </w:rPr>
              <w:t>23CNIC381070-90</w:t>
            </w:r>
            <w:r>
              <w:rPr>
                <w:rFonts w:hint="eastAsia" w:ascii="宋体" w:hAnsi="宋体" w:eastAsia="宋体" w:cs="宋体"/>
                <w:b/>
                <w:color w:val="auto"/>
                <w:sz w:val="24"/>
                <w:szCs w:val="24"/>
                <w:highlight w:val="none"/>
                <w:u w:val="single"/>
              </w:rPr>
              <w:t>保证金”</w:t>
            </w:r>
            <w:r>
              <w:rPr>
                <w:rFonts w:hint="eastAsia" w:ascii="宋体" w:hAnsi="宋体" w:eastAsia="宋体" w:cs="宋体"/>
                <w:b/>
                <w:color w:val="auto"/>
                <w:sz w:val="24"/>
                <w:szCs w:val="24"/>
                <w:highlight w:val="none"/>
              </w:rPr>
              <w:t>字样，否则采购代理机构对不能及时退回保证金不负责任。</w:t>
            </w:r>
          </w:p>
        </w:tc>
      </w:tr>
      <w:tr>
        <w:tblPrEx>
          <w:tblCellMar>
            <w:top w:w="0" w:type="dxa"/>
            <w:left w:w="5" w:type="dxa"/>
            <w:bottom w:w="0" w:type="dxa"/>
            <w:right w:w="0" w:type="dxa"/>
          </w:tblCellMar>
        </w:tblPrEx>
        <w:trPr>
          <w:trHeight w:val="730" w:hRule="atLeast"/>
        </w:trPr>
        <w:tc>
          <w:tcPr>
            <w:tcW w:w="1059" w:type="dxa"/>
            <w:tcBorders>
              <w:top w:val="single" w:color="000000" w:sz="4" w:space="0"/>
              <w:left w:val="single" w:color="000000" w:sz="4" w:space="0"/>
              <w:bottom w:val="single" w:color="000000" w:sz="4" w:space="0"/>
              <w:right w:val="single" w:color="000000" w:sz="4" w:space="0"/>
            </w:tcBorders>
          </w:tcPr>
          <w:p>
            <w:pPr>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8021" w:type="dxa"/>
            <w:tcBorders>
              <w:top w:val="single" w:color="000000" w:sz="4" w:space="0"/>
              <w:left w:val="single" w:color="000000" w:sz="4" w:space="0"/>
              <w:bottom w:val="single" w:color="000000" w:sz="4" w:space="0"/>
              <w:right w:val="single" w:color="000000" w:sz="4" w:space="0"/>
            </w:tcBorders>
          </w:tcPr>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需提供的份数：</w:t>
            </w:r>
            <w:r>
              <w:rPr>
                <w:rFonts w:hint="eastAsia" w:ascii="宋体" w:hAnsi="宋体" w:eastAsia="宋体" w:cs="宋体"/>
                <w:b/>
                <w:bCs/>
                <w:color w:val="auto"/>
                <w:sz w:val="24"/>
                <w:szCs w:val="24"/>
                <w:highlight w:val="none"/>
              </w:rPr>
              <w:t>正本1份，副本2份，并提供电子文档1份</w:t>
            </w:r>
            <w:r>
              <w:rPr>
                <w:rFonts w:hint="eastAsia" w:ascii="宋体" w:hAnsi="宋体" w:eastAsia="宋体" w:cs="宋体"/>
                <w:color w:val="auto"/>
                <w:sz w:val="24"/>
                <w:szCs w:val="24"/>
                <w:highlight w:val="none"/>
              </w:rPr>
              <w:t>。副本应是正本清晰的复印件。响应文件需尽量采用双面打印或印刷。</w:t>
            </w:r>
          </w:p>
          <w:p>
            <w:pPr>
              <w:snapToGrid w:val="0"/>
              <w:spacing w:line="3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响应文件正本、副本均需采用胶装，不得采用活页装订，否则该响应文件将被拒绝。</w:t>
            </w:r>
          </w:p>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响应文件电子文档应为PDF格式式文件，并应是包括响应文件正本所有内容的清晰扫描件</w:t>
            </w:r>
            <w:r>
              <w:rPr>
                <w:rFonts w:hint="eastAsia" w:ascii="宋体" w:hAnsi="宋体" w:eastAsia="宋体" w:cs="宋体"/>
                <w:b/>
                <w:bCs/>
                <w:color w:val="auto"/>
                <w:sz w:val="24"/>
                <w:szCs w:val="24"/>
                <w:highlight w:val="none"/>
              </w:rPr>
              <w:t>（含盖章、签字）</w:t>
            </w:r>
            <w:r>
              <w:rPr>
                <w:rFonts w:hint="eastAsia" w:ascii="宋体" w:hAnsi="宋体" w:eastAsia="宋体" w:cs="宋体"/>
                <w:color w:val="auto"/>
                <w:sz w:val="24"/>
                <w:szCs w:val="24"/>
                <w:highlight w:val="none"/>
              </w:rPr>
              <w:t>。电子文档内容和响应文件正本必须完全一致，不能有缺漏。该电子文档将用于长期存档。因电子文档与正本文件不一致产生的后果由供应商自行承担。</w:t>
            </w:r>
          </w:p>
        </w:tc>
      </w:tr>
      <w:tr>
        <w:tblPrEx>
          <w:tblCellMar>
            <w:top w:w="0" w:type="dxa"/>
            <w:left w:w="5" w:type="dxa"/>
            <w:bottom w:w="0" w:type="dxa"/>
            <w:right w:w="0" w:type="dxa"/>
          </w:tblCellMar>
        </w:tblPrEx>
        <w:tc>
          <w:tcPr>
            <w:tcW w:w="1059" w:type="dxa"/>
            <w:tcBorders>
              <w:top w:val="single" w:color="000000" w:sz="4" w:space="0"/>
              <w:left w:val="single" w:color="000000" w:sz="4" w:space="0"/>
              <w:bottom w:val="single" w:color="000000" w:sz="4" w:space="0"/>
              <w:right w:val="single" w:color="000000" w:sz="4" w:space="0"/>
            </w:tcBorders>
          </w:tcPr>
          <w:p>
            <w:pPr>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w:t>
            </w:r>
          </w:p>
        </w:tc>
        <w:tc>
          <w:tcPr>
            <w:tcW w:w="8021" w:type="dxa"/>
            <w:tcBorders>
              <w:top w:val="single" w:color="000000" w:sz="4" w:space="0"/>
              <w:left w:val="single" w:color="000000" w:sz="4" w:space="0"/>
              <w:bottom w:val="single" w:color="000000" w:sz="4" w:space="0"/>
              <w:right w:val="single" w:color="000000" w:sz="4" w:space="0"/>
            </w:tcBorders>
          </w:tcPr>
          <w:p>
            <w:pPr>
              <w:pStyle w:val="104"/>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若供应商或最终响应文件中出现下列情况之一，则该响应文件将被拒绝：</w:t>
            </w:r>
          </w:p>
          <w:p>
            <w:pPr>
              <w:pStyle w:val="48"/>
              <w:snapToGrid w:val="0"/>
              <w:spacing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不符合第一章第二款、第二章第三部分第2款中的相关规定。</w:t>
            </w:r>
          </w:p>
          <w:p>
            <w:pPr>
              <w:pStyle w:val="48"/>
              <w:snapToGrid w:val="0"/>
              <w:spacing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报价、付款条件不符合相关规定。</w:t>
            </w:r>
          </w:p>
          <w:p>
            <w:pPr>
              <w:pStyle w:val="48"/>
              <w:snapToGrid w:val="0"/>
              <w:spacing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不符合本资料表第10.1款、第10.2款中的要求。</w:t>
            </w:r>
          </w:p>
          <w:p>
            <w:pPr>
              <w:pStyle w:val="48"/>
              <w:snapToGrid w:val="0"/>
              <w:spacing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未递交合格的保证金。</w:t>
            </w:r>
          </w:p>
          <w:p>
            <w:pPr>
              <w:pStyle w:val="48"/>
              <w:snapToGrid w:val="0"/>
              <w:spacing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最终响应文件有效期不符合磋商文件要求。</w:t>
            </w:r>
          </w:p>
          <w:p>
            <w:pPr>
              <w:pStyle w:val="48"/>
              <w:snapToGrid w:val="0"/>
              <w:spacing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未按第三章中标有</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号附件的要求提供响应文件并签字、盖章。（另有规定的除外）</w:t>
            </w:r>
          </w:p>
          <w:p>
            <w:pPr>
              <w:pStyle w:val="48"/>
              <w:snapToGrid w:val="0"/>
              <w:spacing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7．最终响应文件有重大缺漏，不能实质上满足磋商文件要求。</w:t>
            </w:r>
          </w:p>
          <w:p>
            <w:pPr>
              <w:pStyle w:val="48"/>
              <w:snapToGrid w:val="0"/>
              <w:spacing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8．最终响应文件有重大负偏离，不能实质上满足磋商文件要求。</w:t>
            </w:r>
          </w:p>
          <w:p>
            <w:pPr>
              <w:pStyle w:val="48"/>
              <w:snapToGrid w:val="0"/>
              <w:spacing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 最终响应文件中有不为磋商小组或采购人接受的先决条件或其他情况。</w:t>
            </w:r>
          </w:p>
          <w:p>
            <w:pPr>
              <w:snapToGrid w:val="0"/>
              <w:spacing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10．最终响应文件或最后报价中有选择性报价或选择方案（磋商文件允许的情况除外）。</w:t>
            </w:r>
          </w:p>
          <w:p>
            <w:pPr>
              <w:snapToGrid w:val="0"/>
              <w:spacing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同一供应商提交了两个或两个以上不同内容的最终响应文件或最后报价时，则其所有响应文件都将被拒绝（磋商文件允许的情况除外）。</w:t>
            </w:r>
          </w:p>
          <w:p>
            <w:pPr>
              <w:snapToGrid w:val="0"/>
              <w:spacing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分项报价不符合磋商文件要求（若有）。</w:t>
            </w:r>
          </w:p>
          <w:p>
            <w:pPr>
              <w:pStyle w:val="48"/>
              <w:snapToGrid w:val="0"/>
              <w:spacing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kern w:val="0"/>
                <w:sz w:val="24"/>
                <w:szCs w:val="24"/>
                <w:highlight w:val="none"/>
              </w:rPr>
              <w:t xml:space="preserve"> 供应商有串通、弄虚作假（包括</w:t>
            </w:r>
            <w:r>
              <w:rPr>
                <w:rFonts w:hint="eastAsia" w:ascii="宋体" w:hAnsi="宋体" w:eastAsia="宋体" w:cs="宋体"/>
                <w:color w:val="auto"/>
                <w:sz w:val="24"/>
                <w:szCs w:val="24"/>
                <w:highlight w:val="none"/>
              </w:rPr>
              <w:t>虚假应标</w:t>
            </w:r>
            <w:r>
              <w:rPr>
                <w:rFonts w:hint="eastAsia" w:ascii="宋体" w:hAnsi="宋体" w:eastAsia="宋体" w:cs="宋体"/>
                <w:color w:val="auto"/>
                <w:kern w:val="0"/>
                <w:sz w:val="24"/>
                <w:szCs w:val="24"/>
                <w:highlight w:val="none"/>
              </w:rPr>
              <w:t>）、行贿等违法行为。</w:t>
            </w:r>
          </w:p>
          <w:p>
            <w:pPr>
              <w:snapToGrid w:val="0"/>
              <w:spacing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有下列情形之一的，属于供应商相互串通：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（1）供应商之间协商报价、技术方案等响应文件的实质性内容；</w:t>
            </w:r>
          </w:p>
          <w:p>
            <w:pPr>
              <w:snapToGrid w:val="0"/>
              <w:spacing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（2）属于同一集团、协会、商会等组织成员的供应商按照该组织要求协同参加政府采购活动；</w:t>
            </w:r>
          </w:p>
          <w:p>
            <w:pPr>
              <w:snapToGrid w:val="0"/>
              <w:spacing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（3）供应商之间事先约定由某一特定供应商中标、成交；</w:t>
            </w:r>
          </w:p>
          <w:p>
            <w:pPr>
              <w:snapToGrid w:val="0"/>
              <w:spacing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（4）供应商之间商定部分供应商放弃参加政府采购活动或者放弃中标、成交；</w:t>
            </w:r>
          </w:p>
          <w:p>
            <w:pPr>
              <w:snapToGrid w:val="0"/>
              <w:spacing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（5）供应商之间为谋求特定供应商中标、成交或者排斥其他供应商的其他串通行为。</w:t>
            </w:r>
          </w:p>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有磋商文件中规定的响应文件应当被拒绝的其他情况。</w:t>
            </w:r>
          </w:p>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有不符合相关法律法规，响应文件应当被拒绝的其他情况。</w:t>
            </w:r>
          </w:p>
        </w:tc>
      </w:tr>
      <w:tr>
        <w:tblPrEx>
          <w:tblCellMar>
            <w:top w:w="0" w:type="dxa"/>
            <w:left w:w="5" w:type="dxa"/>
            <w:bottom w:w="0" w:type="dxa"/>
            <w:right w:w="0" w:type="dxa"/>
          </w:tblCellMar>
        </w:tblPrEx>
        <w:trPr>
          <w:trHeight w:val="430" w:hRule="atLeast"/>
        </w:trPr>
        <w:tc>
          <w:tcPr>
            <w:tcW w:w="1059" w:type="dxa"/>
            <w:tcBorders>
              <w:top w:val="single" w:color="000000" w:sz="4" w:space="0"/>
              <w:left w:val="single" w:color="000000" w:sz="4" w:space="0"/>
              <w:bottom w:val="single" w:color="auto" w:sz="4" w:space="0"/>
              <w:right w:val="single" w:color="000000" w:sz="4" w:space="0"/>
            </w:tcBorders>
          </w:tcPr>
          <w:p>
            <w:pPr>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8021" w:type="dxa"/>
            <w:tcBorders>
              <w:top w:val="single" w:color="000000" w:sz="4" w:space="0"/>
              <w:left w:val="single" w:color="000000" w:sz="4" w:space="0"/>
              <w:bottom w:val="single" w:color="auto" w:sz="4" w:space="0"/>
              <w:right w:val="single" w:color="000000" w:sz="4" w:space="0"/>
            </w:tcBorders>
          </w:tcPr>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评审及磋商方法</w:t>
            </w:r>
            <w:r>
              <w:rPr>
                <w:rFonts w:hint="eastAsia" w:ascii="宋体" w:hAnsi="宋体" w:eastAsia="宋体" w:cs="宋体"/>
                <w:color w:val="auto"/>
                <w:sz w:val="24"/>
                <w:szCs w:val="24"/>
                <w:highlight w:val="none"/>
              </w:rPr>
              <w:t>：</w:t>
            </w:r>
          </w:p>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（1）磋商小组将依照相关法律法的规定组成。</w:t>
            </w:r>
          </w:p>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磋商小组将对响应文件进行评审，并根据磋商文件规定的程序、评定成交的标准等事项与实质性响应磋商文件要求的供应商进行磋商。未实质性响应磋商文件的响应文件将被拒绝，磋商小组将告知有关供应商。</w:t>
            </w:r>
          </w:p>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（3）磋商小组所有成员将集中与单一供应商分别进行磋商，并给予所有参加磋商的供应商平等的磋商机会。</w:t>
            </w:r>
          </w:p>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（4）在磋商过程中，磋商小组可以根据项目实际情况修改技术、服务要求或合同条款，该修改将是磋商文件的有效组成部分，磋商小组将及时以书面形式同时通知所有参加磋商的供应商。</w:t>
            </w:r>
          </w:p>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供应商应当按照磋商文件的变动情况和磋商小组的要求重新提交响应文件，并由供应商法定代表人或其授权代表签字或者加盖公章。由授权代表签字的，应当附供应商法定代表人授权书。供应商为自然人的，应当由本人签字并附身份证明。</w:t>
            </w:r>
          </w:p>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若磋商小组对原磋商文件进行了实质性修改，已提交响应文件的供应商，在提交最后报价之前，可以根据磋商情况退出磋商。采购人、采购代理机构应当退还退出磋商的供应商的保证金。</w:t>
            </w:r>
          </w:p>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（5）磋商结束后，磋商小组将要求所有继续参加磋商的供应商在规定时间内提交第二次书面密封报价；该报价为最后报价，并须由供应商法定代表人</w:t>
            </w:r>
            <w:r>
              <w:rPr>
                <w:rFonts w:hint="eastAsia" w:ascii="宋体" w:hAnsi="宋体" w:eastAsia="宋体" w:cs="宋体"/>
                <w:color w:val="auto"/>
                <w:sz w:val="24"/>
                <w:szCs w:val="24"/>
                <w:highlight w:val="none"/>
              </w:rPr>
              <w:t>或其授权代表</w:t>
            </w:r>
            <w:r>
              <w:rPr>
                <w:rFonts w:hint="eastAsia" w:ascii="宋体" w:hAnsi="宋体" w:eastAsia="宋体" w:cs="宋体"/>
                <w:color w:val="auto"/>
                <w:kern w:val="0"/>
                <w:sz w:val="24"/>
                <w:szCs w:val="24"/>
                <w:highlight w:val="none"/>
              </w:rPr>
              <w:t>签字确认，最后报价是供应商响应文件的有效组成部分。</w:t>
            </w:r>
          </w:p>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（6）经磋商确定最终采购需求和提交最后报价后，由磋商小组采用综合评分法对提交最后报价的供应商的响应文件和最后报价进行综合评分，</w:t>
            </w:r>
            <w:r>
              <w:rPr>
                <w:rFonts w:hint="eastAsia" w:ascii="宋体" w:hAnsi="宋体" w:eastAsia="宋体" w:cs="宋体"/>
                <w:color w:val="auto"/>
                <w:sz w:val="24"/>
                <w:szCs w:val="24"/>
                <w:highlight w:val="none"/>
              </w:rPr>
              <w:t>不能实质上满足磋商文件要求的响应文件将被拒绝</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评分细则附后。</w:t>
            </w:r>
          </w:p>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（7）</w:t>
            </w:r>
            <w:r>
              <w:rPr>
                <w:rFonts w:hint="eastAsia" w:ascii="宋体" w:hAnsi="宋体" w:eastAsia="宋体" w:cs="宋体"/>
                <w:color w:val="auto"/>
                <w:sz w:val="24"/>
                <w:szCs w:val="24"/>
                <w:highlight w:val="none"/>
              </w:rPr>
              <w:t>磋商小组将根据综合评分情况，按照评审得分由高到低的顺序推荐成交候选供应商，并编写评审报告。评审得分相同的，按照最后报价由低到高的顺序推荐；评审得分且最后报价相同的，由磋商小组按照技术/服务方案优劣顺序推荐。</w:t>
            </w:r>
          </w:p>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（8）</w:t>
            </w:r>
            <w:r>
              <w:rPr>
                <w:rFonts w:hint="eastAsia" w:ascii="宋体" w:hAnsi="宋体" w:eastAsia="宋体" w:cs="宋体"/>
                <w:color w:val="auto"/>
                <w:sz w:val="24"/>
                <w:szCs w:val="24"/>
                <w:highlight w:val="none"/>
              </w:rPr>
              <w:t>采购人将</w:t>
            </w:r>
            <w:r>
              <w:rPr>
                <w:rFonts w:hint="eastAsia" w:ascii="宋体" w:hAnsi="宋体" w:eastAsia="宋体" w:cs="宋体"/>
                <w:color w:val="auto"/>
                <w:kern w:val="0"/>
                <w:sz w:val="24"/>
                <w:szCs w:val="24"/>
                <w:highlight w:val="none"/>
              </w:rPr>
              <w:t>从评审报告提出的成交候选供应商中，确定排名第一的为成交供应商。</w:t>
            </w:r>
          </w:p>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注意：</w:t>
            </w:r>
          </w:p>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中必须有法定代表人授权委托书(法定代表人亲自参加磋商的除外)和供应商代表的身份证复印件。磋商前，供应商代表需将身份证原件交磋商小组或监督人员核实。磋商时由供应商代表签署的文件即为有效力的文件，无需再加盖供应商的公章。</w:t>
            </w:r>
          </w:p>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（2）供应商需自行准备好第二次书面密封报价所需用品。</w:t>
            </w:r>
          </w:p>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（3）若因供应商准备不充分，其第二次报价不被接受而产生的后果将由供应商自行承担。</w:t>
            </w:r>
          </w:p>
        </w:tc>
      </w:tr>
      <w:tr>
        <w:tblPrEx>
          <w:tblCellMar>
            <w:top w:w="0" w:type="dxa"/>
            <w:left w:w="5" w:type="dxa"/>
            <w:bottom w:w="0" w:type="dxa"/>
            <w:right w:w="0" w:type="dxa"/>
          </w:tblCellMar>
        </w:tblPrEx>
        <w:trPr>
          <w:cantSplit/>
          <w:trHeight w:val="270" w:hRule="atLeast"/>
        </w:trPr>
        <w:tc>
          <w:tcPr>
            <w:tcW w:w="1059" w:type="dxa"/>
            <w:tcBorders>
              <w:top w:val="single" w:color="auto" w:sz="4" w:space="0"/>
              <w:left w:val="single" w:color="auto" w:sz="4" w:space="0"/>
              <w:bottom w:val="single" w:color="auto" w:sz="4" w:space="0"/>
              <w:right w:val="single" w:color="auto" w:sz="4" w:space="0"/>
            </w:tcBorders>
          </w:tcPr>
          <w:p>
            <w:pPr>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w:t>
            </w:r>
          </w:p>
        </w:tc>
        <w:tc>
          <w:tcPr>
            <w:tcW w:w="8021" w:type="dxa"/>
            <w:tcBorders>
              <w:top w:val="single" w:color="auto" w:sz="4" w:space="0"/>
              <w:left w:val="single" w:color="auto" w:sz="4" w:space="0"/>
              <w:bottom w:val="single" w:color="auto" w:sz="4" w:space="0"/>
              <w:right w:val="single" w:color="auto" w:sz="4" w:space="0"/>
            </w:tcBorders>
          </w:tcPr>
          <w:p>
            <w:pPr>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采购机构代理服务收费标准：参照《内蒙古自治区建设工程招标代理服务收费指导意见》的通知 (内工建协[2022]34号)下浮20%计算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低于</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1万元的按</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1万元收取</w:t>
            </w:r>
            <w:r>
              <w:rPr>
                <w:rFonts w:hint="eastAsia" w:ascii="宋体" w:hAnsi="宋体" w:eastAsia="宋体" w:cs="宋体"/>
                <w:color w:val="auto"/>
                <w:sz w:val="24"/>
                <w:szCs w:val="24"/>
                <w:highlight w:val="none"/>
                <w:lang w:eastAsia="zh-CN"/>
              </w:rPr>
              <w:t>，由中标供应商支付。</w:t>
            </w:r>
          </w:p>
        </w:tc>
      </w:tr>
      <w:tr>
        <w:tblPrEx>
          <w:tblCellMar>
            <w:top w:w="0" w:type="dxa"/>
            <w:left w:w="5" w:type="dxa"/>
            <w:bottom w:w="0" w:type="dxa"/>
            <w:right w:w="0" w:type="dxa"/>
          </w:tblCellMar>
        </w:tblPrEx>
        <w:trPr>
          <w:cantSplit/>
          <w:trHeight w:val="3330" w:hRule="atLeast"/>
        </w:trPr>
        <w:tc>
          <w:tcPr>
            <w:tcW w:w="1059" w:type="dxa"/>
            <w:tcBorders>
              <w:top w:val="single" w:color="auto" w:sz="4" w:space="0"/>
              <w:left w:val="single" w:color="000000" w:sz="4" w:space="0"/>
              <w:bottom w:val="single" w:color="000000" w:sz="4" w:space="0"/>
              <w:right w:val="single" w:color="000000" w:sz="4" w:space="0"/>
            </w:tcBorders>
          </w:tcPr>
          <w:p>
            <w:pPr>
              <w:snapToGrid w:val="0"/>
              <w:spacing w:line="300" w:lineRule="auto"/>
              <w:rPr>
                <w:rFonts w:hint="eastAsia" w:ascii="宋体" w:hAnsi="宋体" w:eastAsia="宋体" w:cs="宋体"/>
                <w:color w:val="auto"/>
                <w:sz w:val="24"/>
                <w:szCs w:val="24"/>
                <w:highlight w:val="none"/>
              </w:rPr>
            </w:pPr>
          </w:p>
          <w:p>
            <w:pPr>
              <w:snapToGrid w:val="0"/>
              <w:spacing w:line="300" w:lineRule="auto"/>
              <w:rPr>
                <w:rFonts w:hint="eastAsia" w:ascii="宋体" w:hAnsi="宋体" w:eastAsia="宋体" w:cs="宋体"/>
                <w:color w:val="auto"/>
                <w:sz w:val="24"/>
                <w:szCs w:val="24"/>
                <w:highlight w:val="none"/>
              </w:rPr>
            </w:pPr>
          </w:p>
          <w:p>
            <w:pPr>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8021" w:type="dxa"/>
            <w:tcBorders>
              <w:top w:val="single" w:color="auto" w:sz="4" w:space="0"/>
              <w:left w:val="single" w:color="000000" w:sz="4" w:space="0"/>
              <w:bottom w:val="single" w:color="000000" w:sz="4" w:space="0"/>
              <w:right w:val="single" w:color="000000" w:sz="4" w:space="0"/>
            </w:tcBorders>
          </w:tcPr>
          <w:p>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（1）本磋商文件中的“签章”、“签字”、“签署”指亲笔签字，或加盖签字人的签名章或人名章（即:印章）。</w:t>
            </w:r>
          </w:p>
          <w:p>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（2）本项目不接受以邮寄、电子邮件、或传真形式递交的响应文件。</w:t>
            </w:r>
          </w:p>
          <w:p>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（3）复印件包括影印件和扫描件。</w:t>
            </w:r>
          </w:p>
          <w:p>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（4）副本应是正本清晰的复印件。响应文件应尽量采用双面打印或印刷。</w:t>
            </w:r>
          </w:p>
          <w:p>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（5）本磋商文件中“日”“天”均指自然日。</w:t>
            </w:r>
          </w:p>
          <w:p>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（6）所有时间均为北京时间。</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（7）本磋商文件中的“免费”指供应商不能在总报价以外另行向采购人收取其他费用。</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（8）本项目不接受供应商的赠送。响应文件及报价表中不应出现“赠送”字样。</w:t>
            </w:r>
          </w:p>
        </w:tc>
      </w:tr>
    </w:tbl>
    <w:p>
      <w:pPr>
        <w:pStyle w:val="43"/>
        <w:snapToGrid w:val="0"/>
        <w:spacing w:line="300" w:lineRule="auto"/>
        <w:ind w:firstLine="0"/>
        <w:rPr>
          <w:rFonts w:hint="eastAsia" w:ascii="宋体" w:hAnsi="宋体" w:eastAsia="宋体" w:cs="宋体"/>
          <w:color w:val="auto"/>
          <w:highlight w:val="none"/>
        </w:rPr>
      </w:pPr>
    </w:p>
    <w:p>
      <w:pPr>
        <w:snapToGrid w:val="0"/>
        <w:rPr>
          <w:rFonts w:hint="eastAsia" w:ascii="宋体" w:hAnsi="宋体" w:eastAsia="宋体" w:cs="宋体"/>
          <w:color w:val="auto"/>
          <w:highlight w:val="none"/>
        </w:rPr>
      </w:pPr>
    </w:p>
    <w:p>
      <w:pPr>
        <w:pStyle w:val="5"/>
        <w:spacing w:before="0" w:after="0" w:line="300" w:lineRule="auto"/>
        <w:rPr>
          <w:rFonts w:hint="eastAsia" w:ascii="宋体" w:hAnsi="宋体" w:eastAsia="宋体" w:cs="宋体"/>
          <w:b/>
          <w:bCs/>
          <w:color w:val="auto"/>
          <w:sz w:val="28"/>
          <w:highlight w:val="none"/>
        </w:rPr>
      </w:pPr>
      <w:bookmarkStart w:id="101" w:name="_Toc10113"/>
      <w:bookmarkStart w:id="102" w:name="_Toc150"/>
      <w:bookmarkStart w:id="103" w:name="_Toc1469"/>
      <w:bookmarkStart w:id="104" w:name="_Toc19744"/>
      <w:bookmarkStart w:id="105" w:name="_Toc22289"/>
      <w:bookmarkStart w:id="106" w:name="_Toc23664"/>
      <w:bookmarkStart w:id="107" w:name="_Toc2018"/>
      <w:bookmarkStart w:id="108" w:name="_Toc12073"/>
      <w:bookmarkStart w:id="109" w:name="_Toc29731"/>
      <w:bookmarkStart w:id="110" w:name="_Toc29352"/>
      <w:bookmarkStart w:id="111" w:name="_Toc24939"/>
      <w:bookmarkStart w:id="112" w:name="_Toc11809"/>
      <w:bookmarkStart w:id="113" w:name="_Toc432269938"/>
      <w:bookmarkStart w:id="114" w:name="_Toc23827"/>
      <w:bookmarkStart w:id="115" w:name="_Toc699"/>
      <w:bookmarkStart w:id="116" w:name="_Toc6708"/>
      <w:bookmarkStart w:id="117" w:name="_Toc414456721"/>
    </w:p>
    <w:p>
      <w:pPr>
        <w:rPr>
          <w:rFonts w:hint="eastAsia" w:ascii="宋体" w:hAnsi="宋体" w:eastAsia="宋体" w:cs="宋体"/>
          <w:b/>
          <w:bCs/>
          <w:color w:val="auto"/>
          <w:sz w:val="28"/>
          <w:highlight w:val="none"/>
        </w:rPr>
      </w:pPr>
    </w:p>
    <w:p>
      <w:pPr>
        <w:pStyle w:val="6"/>
        <w:rPr>
          <w:rFonts w:hint="eastAsia" w:ascii="宋体" w:hAnsi="宋体" w:eastAsia="宋体" w:cs="宋体"/>
          <w:b/>
          <w:bCs/>
          <w:color w:val="auto"/>
          <w:sz w:val="28"/>
          <w:highlight w:val="none"/>
        </w:rPr>
      </w:pPr>
    </w:p>
    <w:p>
      <w:pPr>
        <w:rPr>
          <w:rFonts w:hint="eastAsia" w:ascii="宋体" w:hAnsi="宋体" w:eastAsia="宋体" w:cs="宋体"/>
          <w:b/>
          <w:bCs/>
          <w:color w:val="auto"/>
          <w:sz w:val="28"/>
          <w:highlight w:val="none"/>
        </w:rPr>
      </w:pPr>
    </w:p>
    <w:p>
      <w:pPr>
        <w:pStyle w:val="6"/>
        <w:rPr>
          <w:rFonts w:hint="eastAsia" w:ascii="宋体" w:hAnsi="宋体" w:eastAsia="宋体" w:cs="宋体"/>
          <w:b/>
          <w:bCs/>
          <w:color w:val="auto"/>
          <w:sz w:val="28"/>
          <w:highlight w:val="none"/>
        </w:rPr>
      </w:pPr>
    </w:p>
    <w:p>
      <w:pPr>
        <w:rPr>
          <w:rFonts w:hint="eastAsia" w:ascii="宋体" w:hAnsi="宋体" w:eastAsia="宋体" w:cs="宋体"/>
          <w:b/>
          <w:bCs/>
          <w:color w:val="auto"/>
          <w:sz w:val="28"/>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5"/>
        <w:spacing w:before="0" w:after="0" w:line="300" w:lineRule="auto"/>
        <w:jc w:val="center"/>
        <w:rPr>
          <w:rFonts w:hint="eastAsia" w:ascii="宋体" w:hAnsi="宋体" w:eastAsia="宋体" w:cs="宋体"/>
          <w:b/>
          <w:bCs/>
          <w:color w:val="auto"/>
          <w:sz w:val="28"/>
          <w:highlight w:val="none"/>
        </w:rPr>
      </w:pPr>
      <w:bookmarkStart w:id="118" w:name="_Toc11508"/>
      <w:bookmarkStart w:id="119" w:name="_Toc27022"/>
      <w:r>
        <w:rPr>
          <w:rFonts w:hint="eastAsia" w:ascii="宋体" w:hAnsi="宋体" w:eastAsia="宋体" w:cs="宋体"/>
          <w:b/>
          <w:bCs/>
          <w:color w:val="auto"/>
          <w:sz w:val="28"/>
          <w:highlight w:val="none"/>
        </w:rPr>
        <w:t>第二部分 评分细则</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8"/>
      <w:bookmarkEnd w:id="119"/>
    </w:p>
    <w:tbl>
      <w:tblPr>
        <w:tblStyle w:val="2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796"/>
        <w:gridCol w:w="802"/>
        <w:gridCol w:w="5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1304" w:type="dxa"/>
            <w:vAlign w:val="top"/>
          </w:tcPr>
          <w:p>
            <w:pPr>
              <w:adjustRightInd w:val="0"/>
              <w:snapToGrid w:val="0"/>
              <w:spacing w:line="30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类别</w:t>
            </w:r>
          </w:p>
        </w:tc>
        <w:tc>
          <w:tcPr>
            <w:tcW w:w="1796" w:type="dxa"/>
            <w:vAlign w:val="center"/>
          </w:tcPr>
          <w:p>
            <w:pPr>
              <w:adjustRightInd w:val="0"/>
              <w:snapToGrid w:val="0"/>
              <w:spacing w:line="30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评分项</w:t>
            </w:r>
          </w:p>
        </w:tc>
        <w:tc>
          <w:tcPr>
            <w:tcW w:w="802" w:type="dxa"/>
            <w:vAlign w:val="center"/>
          </w:tcPr>
          <w:p>
            <w:pPr>
              <w:adjustRightInd w:val="0"/>
              <w:snapToGrid w:val="0"/>
              <w:spacing w:line="30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c>
          <w:tcPr>
            <w:tcW w:w="5384" w:type="dxa"/>
            <w:vAlign w:val="center"/>
          </w:tcPr>
          <w:p>
            <w:pPr>
              <w:adjustRightInd w:val="0"/>
              <w:snapToGrid w:val="0"/>
              <w:spacing w:line="30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04" w:type="dxa"/>
            <w:vAlign w:val="center"/>
          </w:tcPr>
          <w:p>
            <w:pPr>
              <w:adjustRightInd w:val="0"/>
              <w:snapToGrid w:val="0"/>
              <w:spacing w:line="30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价格评分</w:t>
            </w:r>
          </w:p>
        </w:tc>
        <w:tc>
          <w:tcPr>
            <w:tcW w:w="1796" w:type="dxa"/>
            <w:vAlign w:val="center"/>
          </w:tcPr>
          <w:p>
            <w:pPr>
              <w:adjustRightInd w:val="0"/>
              <w:snapToGrid w:val="0"/>
              <w:spacing w:line="30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价格分</w:t>
            </w:r>
          </w:p>
        </w:tc>
        <w:tc>
          <w:tcPr>
            <w:tcW w:w="802" w:type="dxa"/>
            <w:vAlign w:val="center"/>
          </w:tcPr>
          <w:p>
            <w:pPr>
              <w:adjustRightInd w:val="0"/>
              <w:snapToGrid w:val="0"/>
              <w:spacing w:line="30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384" w:type="dxa"/>
            <w:vAlign w:val="top"/>
          </w:tcPr>
          <w:p>
            <w:pPr>
              <w:widowControl/>
              <w:adjustRightInd w:val="0"/>
              <w:snapToGrid w:val="0"/>
              <w:spacing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实质上满足</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要求且</w:t>
            </w:r>
            <w:r>
              <w:rPr>
                <w:rFonts w:hint="eastAsia" w:ascii="宋体" w:hAnsi="宋体" w:eastAsia="宋体" w:cs="宋体"/>
                <w:color w:val="auto"/>
                <w:sz w:val="24"/>
                <w:szCs w:val="24"/>
                <w:highlight w:val="none"/>
                <w:lang w:val="en-US" w:eastAsia="zh-CN"/>
              </w:rPr>
              <w:t>最后报</w:t>
            </w:r>
            <w:r>
              <w:rPr>
                <w:rFonts w:hint="eastAsia" w:ascii="宋体" w:hAnsi="宋体" w:eastAsia="宋体" w:cs="宋体"/>
                <w:color w:val="auto"/>
                <w:sz w:val="24"/>
                <w:szCs w:val="24"/>
                <w:highlight w:val="none"/>
              </w:rPr>
              <w:t>价最低的有效</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为评标基准价，其价格分为满分。其他有效合格的报价得分按照下列公式计算：</w:t>
            </w:r>
          </w:p>
          <w:p>
            <w:pPr>
              <w:widowControl/>
              <w:adjustRightInd w:val="0"/>
              <w:snapToGrid w:val="0"/>
              <w:spacing w:line="30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报价得分=(评标基准价÷</w:t>
            </w:r>
            <w:r>
              <w:rPr>
                <w:rFonts w:hint="eastAsia" w:ascii="宋体" w:hAnsi="宋体" w:eastAsia="宋体" w:cs="宋体"/>
                <w:b/>
                <w:color w:val="auto"/>
                <w:sz w:val="24"/>
                <w:szCs w:val="24"/>
                <w:highlight w:val="none"/>
                <w:lang w:val="en-US" w:eastAsia="zh-CN"/>
              </w:rPr>
              <w:t>报价</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0分</w:t>
            </w:r>
          </w:p>
          <w:p>
            <w:pPr>
              <w:adjustRightInd w:val="0"/>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符合财政部、工信部文件（财库[2020]46号）规定的小微企业可享受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%的价格扣除。符合财政部、司法部文件（财库[2014]68号）规定的监狱企业及符合财政部、民政部、中国残联文件（财库[2017]141号）规定的残疾人福利性单位亦可享受前述扶持政策。（见注解1）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8" w:hRule="atLeast"/>
        </w:trPr>
        <w:tc>
          <w:tcPr>
            <w:tcW w:w="1304" w:type="dxa"/>
            <w:vMerge w:val="restart"/>
            <w:vAlign w:val="center"/>
          </w:tcPr>
          <w:p>
            <w:pPr>
              <w:adjustRightInd w:val="0"/>
              <w:snapToGrid w:val="0"/>
              <w:spacing w:line="30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履约能力评分</w:t>
            </w:r>
          </w:p>
        </w:tc>
        <w:tc>
          <w:tcPr>
            <w:tcW w:w="1796" w:type="dxa"/>
            <w:vAlign w:val="center"/>
          </w:tcPr>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业绩经验</w:t>
            </w:r>
          </w:p>
          <w:p>
            <w:pPr>
              <w:adjustRightInd w:val="0"/>
              <w:snapToGrid w:val="0"/>
              <w:spacing w:line="300" w:lineRule="auto"/>
              <w:rPr>
                <w:rFonts w:hint="eastAsia" w:ascii="宋体" w:hAnsi="宋体" w:eastAsia="宋体" w:cs="宋体"/>
                <w:b/>
                <w:bCs/>
                <w:color w:val="auto"/>
                <w:sz w:val="24"/>
                <w:szCs w:val="24"/>
                <w:highlight w:val="none"/>
              </w:rPr>
            </w:pPr>
          </w:p>
        </w:tc>
        <w:tc>
          <w:tcPr>
            <w:tcW w:w="802" w:type="dxa"/>
            <w:vAlign w:val="center"/>
          </w:tcPr>
          <w:p>
            <w:pPr>
              <w:adjustRightInd w:val="0"/>
              <w:snapToGrid w:val="0"/>
              <w:spacing w:line="30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384" w:type="dxa"/>
            <w:vAlign w:val="top"/>
          </w:tcPr>
          <w:p>
            <w:pPr>
              <w:keepNext w:val="0"/>
              <w:keepLines w:val="0"/>
              <w:pageBreakBefore w:val="0"/>
              <w:widowControl w:val="0"/>
              <w:kinsoku/>
              <w:wordWrap/>
              <w:overflowPunct/>
              <w:topLinePunct w:val="0"/>
              <w:autoSpaceDE w:val="0"/>
              <w:autoSpaceDN/>
              <w:bidi w:val="0"/>
              <w:adjustRightInd w:val="0"/>
              <w:snapToGrid w:val="0"/>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投标人201</w:t>
            </w:r>
            <w:r>
              <w:rPr>
                <w:rFonts w:hint="eastAsia" w:ascii="宋体" w:hAnsi="宋体" w:eastAsia="宋体" w:cs="宋体"/>
                <w:color w:val="auto"/>
                <w:sz w:val="24"/>
                <w:szCs w:val="24"/>
                <w:highlight w:val="none"/>
                <w:lang w:val="en-US" w:eastAsia="zh-CN" w:bidi="ar"/>
              </w:rPr>
              <w:t>9</w:t>
            </w:r>
            <w:r>
              <w:rPr>
                <w:rFonts w:hint="eastAsia" w:ascii="宋体" w:hAnsi="宋体" w:eastAsia="宋体" w:cs="宋体"/>
                <w:color w:val="auto"/>
                <w:sz w:val="24"/>
                <w:szCs w:val="24"/>
                <w:highlight w:val="none"/>
                <w:lang w:bidi="ar"/>
              </w:rPr>
              <w:t>年1月1日至投标截止时，承担过的类似项目业绩，每一个得2分，最多得</w:t>
            </w:r>
            <w:r>
              <w:rPr>
                <w:rFonts w:hint="eastAsia" w:ascii="宋体" w:hAnsi="宋体" w:eastAsia="宋体" w:cs="宋体"/>
                <w:color w:val="auto"/>
                <w:sz w:val="24"/>
                <w:szCs w:val="24"/>
                <w:highlight w:val="none"/>
                <w:lang w:val="en-US" w:eastAsia="zh-CN" w:bidi="ar"/>
              </w:rPr>
              <w:t>10</w:t>
            </w:r>
            <w:r>
              <w:rPr>
                <w:rFonts w:hint="eastAsia" w:ascii="宋体" w:hAnsi="宋体" w:eastAsia="宋体" w:cs="宋体"/>
                <w:color w:val="auto"/>
                <w:sz w:val="24"/>
                <w:szCs w:val="24"/>
                <w:highlight w:val="none"/>
                <w:lang w:bidi="ar"/>
              </w:rPr>
              <w:t>分。</w:t>
            </w:r>
          </w:p>
          <w:p>
            <w:pPr>
              <w:adjustRightInd w:val="0"/>
              <w:snapToGrid w:val="0"/>
              <w:spacing w:line="30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提供合同复印件，至少包括首页、项目服务内容页和签字盖章页，且加盖投标人公章。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1304" w:type="dxa"/>
            <w:vMerge w:val="continue"/>
            <w:vAlign w:val="center"/>
          </w:tcPr>
          <w:p>
            <w:pPr>
              <w:adjustRightInd w:val="0"/>
              <w:snapToGrid w:val="0"/>
              <w:spacing w:line="300" w:lineRule="auto"/>
              <w:jc w:val="center"/>
              <w:rPr>
                <w:rFonts w:hint="eastAsia" w:ascii="宋体" w:hAnsi="宋体" w:eastAsia="宋体" w:cs="宋体"/>
                <w:b/>
                <w:color w:val="auto"/>
                <w:sz w:val="24"/>
                <w:szCs w:val="24"/>
                <w:highlight w:val="none"/>
              </w:rPr>
            </w:pPr>
          </w:p>
        </w:tc>
        <w:tc>
          <w:tcPr>
            <w:tcW w:w="1796" w:type="dxa"/>
            <w:vAlign w:val="center"/>
          </w:tcPr>
          <w:p>
            <w:pPr>
              <w:keepNext w:val="0"/>
              <w:keepLines w:val="0"/>
              <w:widowControl/>
              <w:suppressLineNumbers w:val="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质量管理体系认证证书</w:t>
            </w:r>
          </w:p>
        </w:tc>
        <w:tc>
          <w:tcPr>
            <w:tcW w:w="802" w:type="dxa"/>
            <w:vAlign w:val="center"/>
          </w:tcPr>
          <w:p>
            <w:pPr>
              <w:adjustRightInd w:val="0"/>
              <w:snapToGrid w:val="0"/>
              <w:spacing w:line="30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5384" w:type="dxa"/>
            <w:vAlign w:val="center"/>
          </w:tcPr>
          <w:p>
            <w:pPr>
              <w:adjustRightInd w:val="0"/>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提供有效的证书扫描件，得 3 分，否则得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304" w:type="dxa"/>
            <w:vMerge w:val="continue"/>
            <w:vAlign w:val="center"/>
          </w:tcPr>
          <w:p>
            <w:pPr>
              <w:adjustRightInd w:val="0"/>
              <w:snapToGrid w:val="0"/>
              <w:spacing w:line="300" w:lineRule="auto"/>
              <w:jc w:val="center"/>
              <w:rPr>
                <w:rFonts w:hint="eastAsia" w:ascii="宋体" w:hAnsi="宋体" w:eastAsia="宋体" w:cs="宋体"/>
                <w:b/>
                <w:color w:val="auto"/>
                <w:sz w:val="24"/>
                <w:szCs w:val="24"/>
                <w:highlight w:val="none"/>
              </w:rPr>
            </w:pPr>
          </w:p>
        </w:tc>
        <w:tc>
          <w:tcPr>
            <w:tcW w:w="1796" w:type="dxa"/>
            <w:vAlign w:val="center"/>
          </w:tcPr>
          <w:p>
            <w:pPr>
              <w:adjustRightInd w:val="0"/>
              <w:snapToGrid w:val="0"/>
              <w:spacing w:line="300" w:lineRule="auto"/>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场所</w:t>
            </w:r>
          </w:p>
        </w:tc>
        <w:tc>
          <w:tcPr>
            <w:tcW w:w="802" w:type="dxa"/>
            <w:vAlign w:val="center"/>
          </w:tcPr>
          <w:p>
            <w:pPr>
              <w:adjustRightInd w:val="0"/>
              <w:snapToGrid w:val="0"/>
              <w:spacing w:line="30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5384" w:type="dxa"/>
            <w:vAlign w:val="top"/>
          </w:tcPr>
          <w:p>
            <w:pPr>
              <w:adjustRightInd w:val="0"/>
              <w:snapToGrid w:val="0"/>
              <w:spacing w:line="30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具有固定的工作场所</w:t>
            </w:r>
            <w:r>
              <w:rPr>
                <w:rFonts w:hint="eastAsia" w:ascii="宋体" w:hAnsi="宋体" w:eastAsia="宋体" w:cs="宋体"/>
                <w:color w:val="auto"/>
                <w:sz w:val="24"/>
                <w:szCs w:val="24"/>
                <w:highlight w:val="none"/>
                <w:lang w:val="en-US" w:eastAsia="zh-CN"/>
              </w:rPr>
              <w:t>且</w:t>
            </w:r>
            <w:r>
              <w:rPr>
                <w:rFonts w:hint="eastAsia" w:ascii="宋体" w:hAnsi="宋体" w:eastAsia="宋体" w:cs="宋体"/>
                <w:color w:val="auto"/>
                <w:sz w:val="24"/>
                <w:szCs w:val="24"/>
                <w:highlight w:val="none"/>
              </w:rPr>
              <w:t>工作环境满足检验检测要求</w:t>
            </w:r>
            <w:r>
              <w:rPr>
                <w:rFonts w:hint="eastAsia" w:ascii="宋体" w:hAnsi="宋体" w:eastAsia="宋体" w:cs="宋体"/>
                <w:color w:val="auto"/>
                <w:sz w:val="24"/>
                <w:szCs w:val="24"/>
                <w:highlight w:val="none"/>
                <w:lang w:val="en-US" w:eastAsia="zh-CN"/>
              </w:rPr>
              <w:t>的得5分，否则0分</w:t>
            </w:r>
          </w:p>
          <w:p>
            <w:pPr>
              <w:pStyle w:val="34"/>
              <w:ind w:left="0" w:leftChars="0"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注：需提供相应的证明材料</w:t>
            </w:r>
            <w:r>
              <w:rPr>
                <w:rFonts w:hint="eastAsia" w:ascii="宋体" w:hAnsi="宋体" w:cs="宋体"/>
                <w:color w:val="auto"/>
                <w:sz w:val="24"/>
                <w:szCs w:val="24"/>
                <w:highlight w:val="none"/>
                <w:lang w:val="en-US" w:eastAsia="zh-CN"/>
              </w:rPr>
              <w:t>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0" w:hRule="atLeast"/>
        </w:trPr>
        <w:tc>
          <w:tcPr>
            <w:tcW w:w="1304" w:type="dxa"/>
            <w:vMerge w:val="continue"/>
            <w:vAlign w:val="center"/>
          </w:tcPr>
          <w:p>
            <w:pPr>
              <w:adjustRightInd w:val="0"/>
              <w:snapToGrid w:val="0"/>
              <w:spacing w:line="300" w:lineRule="auto"/>
              <w:jc w:val="center"/>
              <w:rPr>
                <w:rFonts w:hint="eastAsia" w:ascii="宋体" w:hAnsi="宋体" w:eastAsia="宋体" w:cs="宋体"/>
                <w:b/>
                <w:color w:val="auto"/>
                <w:sz w:val="24"/>
                <w:szCs w:val="24"/>
                <w:highlight w:val="none"/>
              </w:rPr>
            </w:pPr>
          </w:p>
        </w:tc>
        <w:tc>
          <w:tcPr>
            <w:tcW w:w="1796" w:type="dxa"/>
            <w:vAlign w:val="center"/>
          </w:tcPr>
          <w:p>
            <w:pPr>
              <w:adjustRightInd w:val="0"/>
              <w:snapToGrid w:val="0"/>
              <w:spacing w:line="30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0"/>
                <w:sz w:val="24"/>
                <w:szCs w:val="24"/>
                <w:highlight w:val="none"/>
              </w:rPr>
              <w:t>获得相关节能、环保认证</w:t>
            </w:r>
          </w:p>
        </w:tc>
        <w:tc>
          <w:tcPr>
            <w:tcW w:w="802" w:type="dxa"/>
            <w:vAlign w:val="center"/>
          </w:tcPr>
          <w:p>
            <w:pPr>
              <w:adjustRightInd w:val="0"/>
              <w:snapToGrid w:val="0"/>
              <w:spacing w:line="30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5384" w:type="dxa"/>
            <w:vAlign w:val="top"/>
          </w:tcPr>
          <w:p>
            <w:pPr>
              <w:adjustRightInd w:val="0"/>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（1）若所供产品属于《环境标志产品政府采购品目清单》范围的，且获得了依据国家确定的认证机构出具的、处于有效期之内的环境标志产品认证证书的（需提供证明材料）得1分。</w:t>
            </w:r>
          </w:p>
          <w:p>
            <w:pPr>
              <w:adjustRightInd w:val="0"/>
              <w:snapToGrid w:val="0"/>
              <w:spacing w:line="300" w:lineRule="auto"/>
              <w:rPr>
                <w:rFonts w:hint="eastAsia" w:ascii="宋体" w:hAnsi="宋体" w:eastAsia="宋体" w:cs="宋体"/>
                <w:color w:val="auto"/>
                <w:sz w:val="24"/>
                <w:szCs w:val="24"/>
                <w:highlight w:val="none"/>
              </w:rPr>
            </w:pPr>
          </w:p>
          <w:p>
            <w:pPr>
              <w:adjustRightInd w:val="0"/>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（2）若所供产品属于《节能产品政府采购品目清单》范围的，且获得了依据国家确定的认证机构出具的处于有效期之内的节能产品认证证书的（需提供证明材料）得1分。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trPr>
        <w:tc>
          <w:tcPr>
            <w:tcW w:w="1304" w:type="dxa"/>
            <w:vMerge w:val="restart"/>
            <w:vAlign w:val="center"/>
          </w:tcPr>
          <w:p>
            <w:pPr>
              <w:adjustRightInd w:val="0"/>
              <w:snapToGrid w:val="0"/>
              <w:spacing w:line="30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技术/</w:t>
            </w:r>
            <w:r>
              <w:rPr>
                <w:rFonts w:hint="eastAsia" w:ascii="宋体" w:hAnsi="宋体" w:eastAsia="宋体" w:cs="宋体"/>
                <w:b/>
                <w:color w:val="auto"/>
                <w:sz w:val="24"/>
                <w:szCs w:val="24"/>
                <w:highlight w:val="none"/>
              </w:rPr>
              <w:t>服务</w:t>
            </w:r>
            <w:r>
              <w:rPr>
                <w:rFonts w:hint="eastAsia" w:ascii="宋体" w:hAnsi="宋体" w:eastAsia="宋体" w:cs="宋体"/>
                <w:b/>
                <w:color w:val="auto"/>
                <w:sz w:val="24"/>
                <w:szCs w:val="24"/>
                <w:highlight w:val="none"/>
                <w:lang w:val="en-US" w:eastAsia="zh-CN"/>
              </w:rPr>
              <w:t>的</w:t>
            </w:r>
            <w:r>
              <w:rPr>
                <w:rFonts w:hint="eastAsia" w:ascii="宋体" w:hAnsi="宋体" w:eastAsia="宋体" w:cs="宋体"/>
                <w:b/>
                <w:color w:val="auto"/>
                <w:sz w:val="24"/>
                <w:szCs w:val="24"/>
                <w:highlight w:val="none"/>
              </w:rPr>
              <w:t>评分</w:t>
            </w:r>
          </w:p>
        </w:tc>
        <w:tc>
          <w:tcPr>
            <w:tcW w:w="1796" w:type="dxa"/>
            <w:vAlign w:val="center"/>
          </w:tcPr>
          <w:p>
            <w:pPr>
              <w:pStyle w:val="34"/>
              <w:ind w:left="0" w:leftChars="0" w:firstLine="0" w:firstLineChars="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其他</w:t>
            </w:r>
            <w:r>
              <w:rPr>
                <w:rFonts w:hint="eastAsia" w:ascii="宋体" w:hAnsi="宋体" w:eastAsia="宋体" w:cs="宋体"/>
                <w:color w:val="auto"/>
                <w:sz w:val="24"/>
                <w:szCs w:val="24"/>
                <w:highlight w:val="none"/>
                <w:lang w:val="en-US" w:eastAsia="zh-CN"/>
              </w:rPr>
              <w:t>服务</w:t>
            </w:r>
            <w:r>
              <w:rPr>
                <w:rFonts w:hint="eastAsia" w:ascii="宋体" w:hAnsi="宋体" w:cs="宋体"/>
                <w:color w:val="auto"/>
                <w:sz w:val="24"/>
                <w:szCs w:val="24"/>
                <w:highlight w:val="none"/>
                <w:lang w:val="en-US" w:eastAsia="zh-CN"/>
              </w:rPr>
              <w:t>承诺</w:t>
            </w:r>
          </w:p>
          <w:p>
            <w:pPr>
              <w:pStyle w:val="34"/>
              <w:ind w:left="0" w:leftChars="0" w:firstLine="0" w:firstLineChars="0"/>
              <w:rPr>
                <w:rFonts w:hint="eastAsia" w:ascii="宋体" w:hAnsi="宋体" w:eastAsia="宋体" w:cs="宋体"/>
                <w:color w:val="auto"/>
                <w:sz w:val="24"/>
                <w:szCs w:val="24"/>
                <w:highlight w:val="none"/>
                <w:lang w:val="en-US" w:eastAsia="zh-CN"/>
              </w:rPr>
            </w:pPr>
          </w:p>
        </w:tc>
        <w:tc>
          <w:tcPr>
            <w:tcW w:w="802" w:type="dxa"/>
            <w:vAlign w:val="center"/>
          </w:tcPr>
          <w:p>
            <w:pPr>
              <w:pStyle w:val="34"/>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5384" w:type="dxa"/>
            <w:vAlign w:val="top"/>
          </w:tcPr>
          <w:p>
            <w:pPr>
              <w:pStyle w:val="34"/>
              <w:ind w:left="0" w:leftChars="0" w:firstLine="0" w:firstLineChars="0"/>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对服务需求的承诺进行评价：</w:t>
            </w:r>
          </w:p>
          <w:p>
            <w:pPr>
              <w:pStyle w:val="34"/>
              <w:ind w:left="0" w:leftChars="0" w:firstLine="0" w:firstLineChars="0"/>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承诺内容全面、具体、完全满足采购需求得5分；</w:t>
            </w:r>
          </w:p>
          <w:p>
            <w:pPr>
              <w:pStyle w:val="34"/>
              <w:ind w:left="0" w:leftChars="0" w:firstLine="0" w:firstLineChars="0"/>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承诺内容有缺失，但针对本项目且大部分满足采购需求得2分</w:t>
            </w:r>
          </w:p>
          <w:p>
            <w:pPr>
              <w:pStyle w:val="34"/>
              <w:ind w:left="0" w:leftChars="0" w:firstLine="0" w:firstLineChars="0"/>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未提供服务承诺或承诺内容与本项目无关得0分。</w:t>
            </w:r>
          </w:p>
          <w:p>
            <w:pPr>
              <w:pStyle w:val="34"/>
              <w:ind w:left="0" w:leftChars="0" w:firstLine="0" w:firstLineChars="0"/>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注：提供服务承诺并加盖公章。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04" w:type="dxa"/>
            <w:vMerge w:val="continue"/>
            <w:vAlign w:val="center"/>
          </w:tcPr>
          <w:p>
            <w:pPr>
              <w:adjustRightInd w:val="0"/>
              <w:snapToGrid w:val="0"/>
              <w:spacing w:line="300" w:lineRule="auto"/>
              <w:jc w:val="center"/>
              <w:rPr>
                <w:rFonts w:hint="eastAsia" w:ascii="宋体" w:hAnsi="宋体" w:eastAsia="宋体" w:cs="宋体"/>
                <w:b/>
                <w:color w:val="auto"/>
                <w:sz w:val="24"/>
                <w:szCs w:val="24"/>
                <w:highlight w:val="none"/>
              </w:rPr>
            </w:pPr>
          </w:p>
        </w:tc>
        <w:tc>
          <w:tcPr>
            <w:tcW w:w="1796" w:type="dxa"/>
            <w:vAlign w:val="center"/>
          </w:tcPr>
          <w:p>
            <w:pPr>
              <w:pStyle w:val="34"/>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整体服务方案</w:t>
            </w:r>
          </w:p>
          <w:p>
            <w:pPr>
              <w:keepNext w:val="0"/>
              <w:keepLines w:val="0"/>
              <w:pageBreakBefore w:val="0"/>
              <w:widowControl w:val="0"/>
              <w:kinsoku/>
              <w:wordWrap/>
              <w:overflowPunct/>
              <w:topLinePunct w:val="0"/>
              <w:autoSpaceDE w:val="0"/>
              <w:autoSpaceDN/>
              <w:bidi w:val="0"/>
              <w:adjustRightInd w:val="0"/>
              <w:snapToGrid w:val="0"/>
              <w:spacing w:line="360" w:lineRule="auto"/>
              <w:ind w:left="0" w:leftChars="0" w:right="0" w:rightChars="0"/>
              <w:jc w:val="both"/>
              <w:outlineLvl w:val="9"/>
              <w:rPr>
                <w:rFonts w:hint="eastAsia" w:ascii="宋体" w:hAnsi="宋体" w:eastAsia="宋体" w:cs="宋体"/>
                <w:b/>
                <w:color w:val="auto"/>
                <w:sz w:val="24"/>
                <w:szCs w:val="24"/>
                <w:highlight w:val="none"/>
              </w:rPr>
            </w:pPr>
          </w:p>
        </w:tc>
        <w:tc>
          <w:tcPr>
            <w:tcW w:w="802" w:type="dxa"/>
            <w:vAlign w:val="center"/>
          </w:tcPr>
          <w:p>
            <w:pPr>
              <w:adjustRightInd w:val="0"/>
              <w:snapToGrid w:val="0"/>
              <w:spacing w:line="300" w:lineRule="auto"/>
              <w:jc w:val="cente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20</w:t>
            </w:r>
          </w:p>
        </w:tc>
        <w:tc>
          <w:tcPr>
            <w:tcW w:w="5384" w:type="dxa"/>
            <w:vAlign w:val="top"/>
          </w:tcPr>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投标人需针对本项目编写服务方案，服务方案包括但不限于人员职责分工、服务目标、管理制度、</w:t>
            </w:r>
            <w:r>
              <w:rPr>
                <w:rFonts w:hint="eastAsia" w:ascii="宋体" w:hAnsi="宋体" w:cs="宋体"/>
                <w:color w:val="auto"/>
                <w:kern w:val="0"/>
                <w:sz w:val="24"/>
                <w:szCs w:val="24"/>
                <w:highlight w:val="none"/>
                <w:lang w:val="en-US" w:eastAsia="zh-CN" w:bidi="ar"/>
              </w:rPr>
              <w:t>检测</w:t>
            </w:r>
            <w:r>
              <w:rPr>
                <w:rFonts w:hint="eastAsia" w:ascii="宋体" w:hAnsi="宋体" w:eastAsia="宋体" w:cs="宋体"/>
                <w:color w:val="auto"/>
                <w:kern w:val="0"/>
                <w:sz w:val="24"/>
                <w:szCs w:val="24"/>
                <w:highlight w:val="none"/>
                <w:lang w:val="en-US" w:eastAsia="zh-CN" w:bidi="ar"/>
              </w:rPr>
              <w:t xml:space="preserve">方案、设备配置等，评委根据各投标人提供的实施方案进行综合评审： </w:t>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方案涵盖全面，内容详细、具体，编制逻辑清晰、规范，有在以上内容的基础上增加 2 个合理化的方案模块，方案详细、具有针对性与可行性的得 </w:t>
            </w:r>
            <w:r>
              <w:rPr>
                <w:rFonts w:hint="eastAsia" w:ascii="宋体" w:hAnsi="宋体" w:cs="宋体"/>
                <w:color w:val="auto"/>
                <w:kern w:val="0"/>
                <w:sz w:val="24"/>
                <w:szCs w:val="24"/>
                <w:highlight w:val="none"/>
                <w:lang w:val="en-US" w:eastAsia="zh-CN" w:bidi="ar"/>
              </w:rPr>
              <w:t>20</w:t>
            </w:r>
            <w:r>
              <w:rPr>
                <w:rFonts w:hint="eastAsia" w:ascii="宋体" w:hAnsi="宋体" w:eastAsia="宋体" w:cs="宋体"/>
                <w:color w:val="auto"/>
                <w:kern w:val="0"/>
                <w:sz w:val="24"/>
                <w:szCs w:val="24"/>
                <w:highlight w:val="none"/>
                <w:lang w:val="en-US" w:eastAsia="zh-CN" w:bidi="ar"/>
              </w:rPr>
              <w:t xml:space="preserve">分； </w:t>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方案涵盖全面，内容详细、具体，编制逻辑清晰、规范，有在以上内容的基础上增加 1 个合理化的方案模块，具有针对性和际操作性的得 </w:t>
            </w:r>
            <w:r>
              <w:rPr>
                <w:rFonts w:hint="eastAsia" w:ascii="宋体" w:hAnsi="宋体" w:cs="宋体"/>
                <w:color w:val="auto"/>
                <w:kern w:val="0"/>
                <w:sz w:val="24"/>
                <w:szCs w:val="24"/>
                <w:highlight w:val="none"/>
                <w:lang w:val="en-US" w:eastAsia="zh-CN" w:bidi="ar"/>
              </w:rPr>
              <w:t>16</w:t>
            </w:r>
            <w:r>
              <w:rPr>
                <w:rFonts w:hint="eastAsia" w:ascii="宋体" w:hAnsi="宋体" w:eastAsia="宋体" w:cs="宋体"/>
                <w:color w:val="auto"/>
                <w:kern w:val="0"/>
                <w:sz w:val="24"/>
                <w:szCs w:val="24"/>
                <w:highlight w:val="none"/>
                <w:lang w:val="en-US" w:eastAsia="zh-CN" w:bidi="ar"/>
              </w:rPr>
              <w:t xml:space="preserve"> 分； </w:t>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方案涵盖全面，内容详细、具体，编制逻辑清晰、规范，具有针对性与操作性的得 </w:t>
            </w:r>
            <w:r>
              <w:rPr>
                <w:rFonts w:hint="eastAsia" w:ascii="宋体" w:hAnsi="宋体" w:cs="宋体"/>
                <w:color w:val="auto"/>
                <w:kern w:val="0"/>
                <w:sz w:val="24"/>
                <w:szCs w:val="24"/>
                <w:highlight w:val="none"/>
                <w:lang w:val="en-US" w:eastAsia="zh-CN" w:bidi="ar"/>
              </w:rPr>
              <w:t>12</w:t>
            </w:r>
            <w:r>
              <w:rPr>
                <w:rFonts w:hint="eastAsia" w:ascii="宋体" w:hAnsi="宋体" w:eastAsia="宋体" w:cs="宋体"/>
                <w:color w:val="auto"/>
                <w:kern w:val="0"/>
                <w:sz w:val="24"/>
                <w:szCs w:val="24"/>
                <w:highlight w:val="none"/>
                <w:lang w:val="en-US" w:eastAsia="zh-CN" w:bidi="ar"/>
              </w:rPr>
              <w:t xml:space="preserve"> 分； </w:t>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方案涵盖全面，内容简略，编制规范的得 </w:t>
            </w:r>
            <w:r>
              <w:rPr>
                <w:rFonts w:hint="eastAsia" w:ascii="宋体" w:hAnsi="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val="en-US" w:eastAsia="zh-CN" w:bidi="ar"/>
              </w:rPr>
              <w:t xml:space="preserve">分； </w:t>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方案有存在缺漏，内容简略、编制混乱，不</w:t>
            </w:r>
            <w:r>
              <w:rPr>
                <w:rFonts w:hint="eastAsia" w:ascii="宋体" w:hAnsi="宋体" w:cs="宋体"/>
                <w:color w:val="auto"/>
                <w:kern w:val="0"/>
                <w:sz w:val="24"/>
                <w:szCs w:val="24"/>
                <w:highlight w:val="none"/>
                <w:lang w:val="en-US" w:eastAsia="zh-CN" w:bidi="ar"/>
              </w:rPr>
              <w:t>完全</w:t>
            </w:r>
            <w:r>
              <w:rPr>
                <w:rFonts w:hint="eastAsia" w:ascii="宋体" w:hAnsi="宋体" w:eastAsia="宋体" w:cs="宋体"/>
                <w:color w:val="auto"/>
                <w:kern w:val="0"/>
                <w:sz w:val="24"/>
                <w:szCs w:val="24"/>
                <w:highlight w:val="none"/>
                <w:lang w:val="en-US" w:eastAsia="zh-CN" w:bidi="ar"/>
              </w:rPr>
              <w:t xml:space="preserve">具备操作性的得4 分； </w:t>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未提供者不得分。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04" w:type="dxa"/>
            <w:vMerge w:val="continue"/>
            <w:vAlign w:val="center"/>
          </w:tcPr>
          <w:p>
            <w:pPr>
              <w:adjustRightInd w:val="0"/>
              <w:snapToGrid w:val="0"/>
              <w:spacing w:line="300" w:lineRule="auto"/>
              <w:jc w:val="center"/>
              <w:rPr>
                <w:rFonts w:hint="eastAsia" w:ascii="宋体" w:hAnsi="宋体" w:eastAsia="宋体" w:cs="宋体"/>
                <w:b/>
                <w:color w:val="auto"/>
                <w:sz w:val="24"/>
                <w:szCs w:val="24"/>
                <w:highlight w:val="none"/>
              </w:rPr>
            </w:pPr>
          </w:p>
        </w:tc>
        <w:tc>
          <w:tcPr>
            <w:tcW w:w="1796" w:type="dxa"/>
            <w:vAlign w:val="center"/>
          </w:tcPr>
          <w:p>
            <w:pPr>
              <w:keepNext w:val="0"/>
              <w:keepLines w:val="0"/>
              <w:pageBreakBefore w:val="0"/>
              <w:widowControl w:val="0"/>
              <w:kinsoku/>
              <w:wordWrap/>
              <w:overflowPunct/>
              <w:topLinePunct w:val="0"/>
              <w:autoSpaceDE w:val="0"/>
              <w:autoSpaceDN/>
              <w:bidi w:val="0"/>
              <w:adjustRightInd w:val="0"/>
              <w:snapToGrid w:val="0"/>
              <w:spacing w:line="360" w:lineRule="auto"/>
              <w:ind w:left="0" w:leftChars="0" w:right="0" w:rightChars="0"/>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供应商检测技术能力</w:t>
            </w:r>
          </w:p>
        </w:tc>
        <w:tc>
          <w:tcPr>
            <w:tcW w:w="802" w:type="dxa"/>
            <w:vAlign w:val="center"/>
          </w:tcPr>
          <w:p>
            <w:pPr>
              <w:adjustRightInd w:val="0"/>
              <w:snapToGrid w:val="0"/>
              <w:spacing w:line="30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w:t>
            </w:r>
          </w:p>
        </w:tc>
        <w:tc>
          <w:tcPr>
            <w:tcW w:w="5384" w:type="dxa"/>
            <w:vAlign w:val="top"/>
          </w:tcPr>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供应商检测技术能力通过CMA实验室资质认定、CNAS认定得5分，否则0分</w:t>
            </w:r>
          </w:p>
          <w:p>
            <w:pPr>
              <w:pStyle w:val="34"/>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注：需提供相应证明材料</w:t>
            </w:r>
            <w:r>
              <w:rPr>
                <w:rFonts w:hint="eastAsia" w:ascii="宋体" w:hAnsi="宋体" w:cs="宋体"/>
                <w:color w:val="auto"/>
                <w:sz w:val="24"/>
                <w:szCs w:val="24"/>
                <w:highlight w:val="none"/>
                <w:lang w:val="en-US" w:eastAsia="zh-CN"/>
              </w:rPr>
              <w:t>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04" w:type="dxa"/>
            <w:vMerge w:val="continue"/>
            <w:vAlign w:val="center"/>
          </w:tcPr>
          <w:p>
            <w:pPr>
              <w:adjustRightInd w:val="0"/>
              <w:snapToGrid w:val="0"/>
              <w:spacing w:line="300" w:lineRule="auto"/>
              <w:jc w:val="center"/>
              <w:rPr>
                <w:rFonts w:hint="eastAsia" w:ascii="宋体" w:hAnsi="宋体" w:eastAsia="宋体" w:cs="宋体"/>
                <w:b/>
                <w:color w:val="auto"/>
                <w:sz w:val="24"/>
                <w:szCs w:val="24"/>
                <w:highlight w:val="none"/>
              </w:rPr>
            </w:pPr>
          </w:p>
        </w:tc>
        <w:tc>
          <w:tcPr>
            <w:tcW w:w="1796" w:type="dxa"/>
            <w:vAlign w:val="center"/>
          </w:tcPr>
          <w:p>
            <w:pPr>
              <w:pStyle w:val="34"/>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安全保障措施</w:t>
            </w:r>
          </w:p>
          <w:p>
            <w:pPr>
              <w:keepNext w:val="0"/>
              <w:keepLines w:val="0"/>
              <w:pageBreakBefore w:val="0"/>
              <w:widowControl w:val="0"/>
              <w:kinsoku/>
              <w:wordWrap/>
              <w:overflowPunct/>
              <w:topLinePunct w:val="0"/>
              <w:autoSpaceDE w:val="0"/>
              <w:autoSpaceDN/>
              <w:bidi w:val="0"/>
              <w:adjustRightInd w:val="0"/>
              <w:snapToGrid w:val="0"/>
              <w:spacing w:line="360" w:lineRule="auto"/>
              <w:ind w:left="0" w:leftChars="0" w:right="0" w:rightChars="0"/>
              <w:outlineLvl w:val="9"/>
              <w:rPr>
                <w:rFonts w:hint="eastAsia" w:ascii="宋体" w:hAnsi="宋体" w:eastAsia="宋体" w:cs="宋体"/>
                <w:b/>
                <w:color w:val="auto"/>
                <w:sz w:val="24"/>
                <w:szCs w:val="24"/>
                <w:highlight w:val="none"/>
              </w:rPr>
            </w:pPr>
          </w:p>
        </w:tc>
        <w:tc>
          <w:tcPr>
            <w:tcW w:w="802" w:type="dxa"/>
            <w:vAlign w:val="center"/>
          </w:tcPr>
          <w:p>
            <w:pPr>
              <w:adjustRightInd w:val="0"/>
              <w:snapToGrid w:val="0"/>
              <w:spacing w:line="300" w:lineRule="auto"/>
              <w:jc w:val="center"/>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8</w:t>
            </w:r>
          </w:p>
        </w:tc>
        <w:tc>
          <w:tcPr>
            <w:tcW w:w="5384" w:type="dxa"/>
            <w:vAlign w:val="top"/>
          </w:tcPr>
          <w:p>
            <w:pPr>
              <w:pStyle w:val="34"/>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对投标人的安全保障措施方案进行评价</w:t>
            </w:r>
          </w:p>
          <w:p>
            <w:pPr>
              <w:keepNext w:val="0"/>
              <w:keepLines w:val="0"/>
              <w:pageBreakBefore w:val="0"/>
              <w:widowControl w:val="0"/>
              <w:kinsoku/>
              <w:wordWrap/>
              <w:overflowPunct/>
              <w:topLinePunct w:val="0"/>
              <w:autoSpaceDE w:val="0"/>
              <w:autoSpaceDN/>
              <w:bidi w:val="0"/>
              <w:adjustRightInd w:val="0"/>
              <w:snapToGrid w:val="0"/>
              <w:spacing w:line="360" w:lineRule="auto"/>
              <w:ind w:left="0" w:leftChars="0" w:right="0" w:right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方案完整，完全符合项目需求的得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分； </w:t>
            </w:r>
          </w:p>
          <w:p>
            <w:pPr>
              <w:keepNext w:val="0"/>
              <w:keepLines w:val="0"/>
              <w:pageBreakBefore w:val="0"/>
              <w:widowControl w:val="0"/>
              <w:kinsoku/>
              <w:wordWrap/>
              <w:overflowPunct/>
              <w:topLinePunct w:val="0"/>
              <w:autoSpaceDE w:val="0"/>
              <w:autoSpaceDN/>
              <w:bidi w:val="0"/>
              <w:adjustRightInd w:val="0"/>
              <w:snapToGrid w:val="0"/>
              <w:spacing w:line="360" w:lineRule="auto"/>
              <w:ind w:left="0" w:leftChars="0" w:right="0" w:right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（2）方案可行，但仅部分满足项目需求或未完全针对本项目的得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pPr>
              <w:pStyle w:val="34"/>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（3）方案</w:t>
            </w:r>
            <w:r>
              <w:rPr>
                <w:rFonts w:hint="eastAsia" w:ascii="宋体" w:hAnsi="宋体" w:cs="宋体"/>
                <w:color w:val="auto"/>
                <w:sz w:val="24"/>
                <w:szCs w:val="24"/>
                <w:highlight w:val="none"/>
                <w:lang w:val="en-US" w:eastAsia="zh-CN"/>
              </w:rPr>
              <w:t>部分可行</w:t>
            </w:r>
            <w:r>
              <w:rPr>
                <w:rFonts w:hint="eastAsia" w:ascii="宋体" w:hAnsi="宋体" w:eastAsia="宋体" w:cs="宋体"/>
                <w:color w:val="auto"/>
                <w:sz w:val="24"/>
                <w:szCs w:val="24"/>
                <w:highlight w:val="none"/>
              </w:rPr>
              <w:t>或未提供的得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04" w:type="dxa"/>
            <w:vMerge w:val="continue"/>
            <w:vAlign w:val="center"/>
          </w:tcPr>
          <w:p>
            <w:pPr>
              <w:adjustRightInd w:val="0"/>
              <w:snapToGrid w:val="0"/>
              <w:spacing w:line="300" w:lineRule="auto"/>
              <w:jc w:val="center"/>
              <w:rPr>
                <w:rFonts w:hint="eastAsia" w:ascii="宋体" w:hAnsi="宋体" w:eastAsia="宋体" w:cs="宋体"/>
                <w:b/>
                <w:color w:val="auto"/>
                <w:sz w:val="24"/>
                <w:szCs w:val="24"/>
                <w:highlight w:val="none"/>
              </w:rPr>
            </w:pPr>
          </w:p>
        </w:tc>
        <w:tc>
          <w:tcPr>
            <w:tcW w:w="1796" w:type="dxa"/>
            <w:vAlign w:val="center"/>
          </w:tcPr>
          <w:p>
            <w:pPr>
              <w:pStyle w:val="34"/>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应急保障措施</w:t>
            </w:r>
          </w:p>
          <w:p>
            <w:pPr>
              <w:keepNext w:val="0"/>
              <w:keepLines w:val="0"/>
              <w:pageBreakBefore w:val="0"/>
              <w:widowControl w:val="0"/>
              <w:kinsoku/>
              <w:wordWrap/>
              <w:overflowPunct/>
              <w:topLinePunct w:val="0"/>
              <w:autoSpaceDE w:val="0"/>
              <w:autoSpaceDN/>
              <w:bidi w:val="0"/>
              <w:adjustRightInd w:val="0"/>
              <w:snapToGrid w:val="0"/>
              <w:spacing w:line="360" w:lineRule="auto"/>
              <w:ind w:left="0" w:leftChars="0" w:right="0" w:rightChars="0"/>
              <w:outlineLvl w:val="9"/>
              <w:rPr>
                <w:rFonts w:hint="eastAsia" w:ascii="宋体" w:hAnsi="宋体" w:eastAsia="宋体" w:cs="宋体"/>
                <w:b/>
                <w:color w:val="auto"/>
                <w:sz w:val="24"/>
                <w:szCs w:val="24"/>
                <w:highlight w:val="none"/>
              </w:rPr>
            </w:pPr>
          </w:p>
        </w:tc>
        <w:tc>
          <w:tcPr>
            <w:tcW w:w="802" w:type="dxa"/>
            <w:vAlign w:val="center"/>
          </w:tcPr>
          <w:p>
            <w:pPr>
              <w:adjustRightInd w:val="0"/>
              <w:snapToGrid w:val="0"/>
              <w:spacing w:line="300" w:lineRule="auto"/>
              <w:jc w:val="center"/>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8</w:t>
            </w:r>
          </w:p>
        </w:tc>
        <w:tc>
          <w:tcPr>
            <w:tcW w:w="5384" w:type="dxa"/>
            <w:vAlign w:val="top"/>
          </w:tcPr>
          <w:p>
            <w:pPr>
              <w:keepNext w:val="0"/>
              <w:keepLines w:val="0"/>
              <w:pageBreakBefore w:val="0"/>
              <w:widowControl w:val="0"/>
              <w:kinsoku/>
              <w:wordWrap/>
              <w:overflowPunct/>
              <w:topLinePunct w:val="0"/>
              <w:autoSpaceDE w:val="0"/>
              <w:autoSpaceDN/>
              <w:bidi w:val="0"/>
              <w:adjustRightInd w:val="0"/>
              <w:snapToGrid w:val="0"/>
              <w:spacing w:line="360" w:lineRule="auto"/>
              <w:ind w:left="0" w:leftChars="0" w:right="0" w:rightChars="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对应急保障措施进行评价：</w:t>
            </w:r>
          </w:p>
          <w:p>
            <w:pPr>
              <w:keepNext w:val="0"/>
              <w:keepLines w:val="0"/>
              <w:pageBreakBefore w:val="0"/>
              <w:widowControl w:val="0"/>
              <w:kinsoku/>
              <w:wordWrap/>
              <w:overflowPunct/>
              <w:topLinePunct w:val="0"/>
              <w:autoSpaceDE w:val="0"/>
              <w:autoSpaceDN/>
              <w:bidi w:val="0"/>
              <w:adjustRightInd w:val="0"/>
              <w:snapToGrid w:val="0"/>
              <w:spacing w:line="360" w:lineRule="auto"/>
              <w:ind w:left="0" w:leftChars="0" w:right="0" w:right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方案完整，完全符合项目需求的得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分； </w:t>
            </w:r>
          </w:p>
          <w:p>
            <w:pPr>
              <w:keepNext w:val="0"/>
              <w:keepLines w:val="0"/>
              <w:pageBreakBefore w:val="0"/>
              <w:widowControl w:val="0"/>
              <w:kinsoku/>
              <w:wordWrap/>
              <w:overflowPunct/>
              <w:topLinePunct w:val="0"/>
              <w:autoSpaceDE w:val="0"/>
              <w:autoSpaceDN/>
              <w:bidi w:val="0"/>
              <w:adjustRightInd w:val="0"/>
              <w:snapToGrid w:val="0"/>
              <w:spacing w:line="360" w:lineRule="auto"/>
              <w:ind w:left="0" w:leftChars="0" w:right="0" w:right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（2）方案可行，但仅部分满足项目需求或未完全针对本项目的得 </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pPr>
              <w:pStyle w:val="34"/>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（3）方案不可行或未提供的得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04" w:type="dxa"/>
            <w:vMerge w:val="continue"/>
            <w:vAlign w:val="center"/>
          </w:tcPr>
          <w:p>
            <w:pPr>
              <w:adjustRightInd w:val="0"/>
              <w:snapToGrid w:val="0"/>
              <w:spacing w:line="300" w:lineRule="auto"/>
              <w:jc w:val="center"/>
              <w:rPr>
                <w:rFonts w:hint="eastAsia" w:ascii="宋体" w:hAnsi="宋体" w:eastAsia="宋体" w:cs="宋体"/>
                <w:b/>
                <w:color w:val="auto"/>
                <w:sz w:val="24"/>
                <w:szCs w:val="24"/>
                <w:highlight w:val="none"/>
              </w:rPr>
            </w:pPr>
          </w:p>
        </w:tc>
        <w:tc>
          <w:tcPr>
            <w:tcW w:w="1796" w:type="dxa"/>
            <w:vAlign w:val="center"/>
          </w:tcPr>
          <w:p>
            <w:pPr>
              <w:keepNext w:val="0"/>
              <w:keepLines w:val="0"/>
              <w:pageBreakBefore w:val="0"/>
              <w:widowControl w:val="0"/>
              <w:kinsoku/>
              <w:wordWrap/>
              <w:overflowPunct/>
              <w:topLinePunct w:val="0"/>
              <w:autoSpaceDE w:val="0"/>
              <w:autoSpaceDN/>
              <w:bidi w:val="0"/>
              <w:adjustRightInd w:val="0"/>
              <w:snapToGrid w:val="0"/>
              <w:spacing w:line="360" w:lineRule="auto"/>
              <w:ind w:left="0" w:leftChars="0" w:right="0" w:rightChars="0"/>
              <w:outlineLvl w:val="9"/>
              <w:rPr>
                <w:rFonts w:hint="eastAsia" w:ascii="宋体" w:hAnsi="宋体" w:eastAsia="宋体" w:cs="宋体"/>
                <w:b/>
                <w:color w:val="auto"/>
                <w:sz w:val="24"/>
                <w:szCs w:val="24"/>
                <w:highlight w:val="none"/>
              </w:rPr>
            </w:pPr>
            <w:r>
              <w:rPr>
                <w:rFonts w:hint="eastAsia" w:ascii="宋体" w:hAnsi="宋体" w:cs="宋体"/>
                <w:b w:val="0"/>
                <w:bCs w:val="0"/>
                <w:color w:val="auto"/>
                <w:kern w:val="0"/>
                <w:sz w:val="24"/>
                <w:szCs w:val="24"/>
                <w:highlight w:val="none"/>
                <w:lang w:val="en-US" w:eastAsia="zh-CN" w:bidi="ar-SA"/>
              </w:rPr>
              <w:t>供应商提供的</w:t>
            </w:r>
            <w:r>
              <w:rPr>
                <w:rFonts w:hint="eastAsia" w:ascii="宋体" w:hAnsi="宋体" w:eastAsia="宋体" w:cs="宋体"/>
                <w:b w:val="0"/>
                <w:bCs w:val="0"/>
                <w:color w:val="auto"/>
                <w:kern w:val="0"/>
                <w:sz w:val="24"/>
                <w:szCs w:val="24"/>
                <w:highlight w:val="none"/>
                <w:lang w:val="en-US" w:eastAsia="zh-CN" w:bidi="ar-SA"/>
              </w:rPr>
              <w:t>校准周期建议</w:t>
            </w:r>
          </w:p>
        </w:tc>
        <w:tc>
          <w:tcPr>
            <w:tcW w:w="802" w:type="dxa"/>
            <w:vAlign w:val="center"/>
          </w:tcPr>
          <w:p>
            <w:pPr>
              <w:adjustRightInd w:val="0"/>
              <w:snapToGrid w:val="0"/>
              <w:spacing w:line="300" w:lineRule="auto"/>
              <w:jc w:val="cente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5</w:t>
            </w:r>
          </w:p>
        </w:tc>
        <w:tc>
          <w:tcPr>
            <w:tcW w:w="5384" w:type="dxa"/>
            <w:vAlign w:val="top"/>
          </w:tcPr>
          <w:p>
            <w:pPr>
              <w:pStyle w:val="34"/>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对供应商提供的校准周期建议进行评价：</w:t>
            </w:r>
          </w:p>
          <w:p>
            <w:pPr>
              <w:pStyle w:val="34"/>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建议合理、可操作得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p>
            <w:pPr>
              <w:pStyle w:val="34"/>
              <w:ind w:left="0" w:leftChars="0" w:firstLine="0"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建议部分合理、可操作得2分；</w:t>
            </w:r>
          </w:p>
          <w:p>
            <w:pPr>
              <w:pStyle w:val="34"/>
              <w:ind w:left="0" w:leftChars="0" w:firstLine="0" w:firstLineChars="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建议不合理或未提供得0分。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04" w:type="dxa"/>
            <w:vMerge w:val="continue"/>
            <w:vAlign w:val="center"/>
          </w:tcPr>
          <w:p>
            <w:pPr>
              <w:adjustRightInd w:val="0"/>
              <w:snapToGrid w:val="0"/>
              <w:spacing w:line="300" w:lineRule="auto"/>
              <w:jc w:val="center"/>
              <w:rPr>
                <w:rFonts w:hint="eastAsia" w:ascii="宋体" w:hAnsi="宋体" w:eastAsia="宋体" w:cs="宋体"/>
                <w:bCs/>
                <w:color w:val="auto"/>
                <w:sz w:val="24"/>
                <w:szCs w:val="24"/>
                <w:highlight w:val="none"/>
              </w:rPr>
            </w:pPr>
          </w:p>
        </w:tc>
        <w:tc>
          <w:tcPr>
            <w:tcW w:w="1796" w:type="dxa"/>
            <w:vAlign w:val="center"/>
          </w:tcPr>
          <w:p>
            <w:pPr>
              <w:keepNext w:val="0"/>
              <w:keepLines w:val="0"/>
              <w:pageBreakBefore w:val="0"/>
              <w:widowControl w:val="0"/>
              <w:kinsoku/>
              <w:wordWrap/>
              <w:overflowPunct/>
              <w:topLinePunct w:val="0"/>
              <w:autoSpaceDE w:val="0"/>
              <w:autoSpaceDN/>
              <w:bidi w:val="0"/>
              <w:adjustRightInd w:val="0"/>
              <w:snapToGrid w:val="0"/>
              <w:spacing w:line="360" w:lineRule="auto"/>
              <w:ind w:left="0" w:leftChars="0" w:right="0" w:rightChars="0"/>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项目团队</w:t>
            </w:r>
          </w:p>
        </w:tc>
        <w:tc>
          <w:tcPr>
            <w:tcW w:w="802" w:type="dxa"/>
            <w:vAlign w:val="center"/>
          </w:tcPr>
          <w:p>
            <w:pPr>
              <w:adjustRightInd w:val="0"/>
              <w:snapToGrid w:val="0"/>
              <w:spacing w:line="30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5384" w:type="dxa"/>
            <w:vAlign w:val="top"/>
          </w:tcPr>
          <w:p>
            <w:pPr>
              <w:keepNext w:val="0"/>
              <w:keepLines w:val="0"/>
              <w:pageBreakBefore w:val="0"/>
              <w:widowControl w:val="0"/>
              <w:kinsoku/>
              <w:wordWrap/>
              <w:overflowPunct/>
              <w:topLinePunct w:val="0"/>
              <w:autoSpaceDE w:val="0"/>
              <w:autoSpaceDN/>
              <w:bidi w:val="0"/>
              <w:adjustRightInd w:val="0"/>
              <w:snapToGrid w:val="0"/>
              <w:spacing w:line="360" w:lineRule="auto"/>
              <w:ind w:left="0" w:leftChars="0" w:right="0" w:rightChars="0"/>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项目团队成员要求：</w:t>
            </w:r>
          </w:p>
          <w:p>
            <w:pPr>
              <w:keepNext w:val="0"/>
              <w:keepLines w:val="0"/>
              <w:pageBreakBefore w:val="0"/>
              <w:widowControl w:val="0"/>
              <w:kinsoku/>
              <w:wordWrap/>
              <w:overflowPunct/>
              <w:topLinePunct w:val="0"/>
              <w:autoSpaceDE w:val="0"/>
              <w:autoSpaceDN/>
              <w:bidi w:val="0"/>
              <w:adjustRightInd w:val="0"/>
              <w:snapToGrid w:val="0"/>
              <w:spacing w:line="360" w:lineRule="auto"/>
              <w:ind w:left="0" w:leftChars="0" w:right="0" w:right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团队组成</w:t>
            </w:r>
            <w:r>
              <w:rPr>
                <w:rFonts w:hint="eastAsia" w:ascii="宋体" w:hAnsi="宋体" w:eastAsia="宋体" w:cs="宋体"/>
                <w:color w:val="auto"/>
                <w:sz w:val="24"/>
                <w:szCs w:val="24"/>
                <w:highlight w:val="none"/>
              </w:rPr>
              <w:t>全面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成员具备相应的证书且完全符合项目特点和要求，</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pPr>
              <w:keepNext w:val="0"/>
              <w:keepLines w:val="0"/>
              <w:pageBreakBefore w:val="0"/>
              <w:widowControl w:val="0"/>
              <w:kinsoku/>
              <w:wordWrap/>
              <w:overflowPunct/>
              <w:topLinePunct w:val="0"/>
              <w:autoSpaceDE w:val="0"/>
              <w:autoSpaceDN/>
              <w:bidi w:val="0"/>
              <w:adjustRightInd w:val="0"/>
              <w:snapToGrid w:val="0"/>
              <w:spacing w:line="360" w:lineRule="auto"/>
              <w:ind w:left="0" w:leftChars="0" w:right="0" w:right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团队组成可行，但有缺陷或未完全针对本项目，</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pPr>
              <w:pStyle w:val="34"/>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团队组成不可行或未提供，</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pPr>
              <w:tabs>
                <w:tab w:val="left" w:pos="1522"/>
              </w:tabs>
              <w:adjustRightInd w:val="0"/>
              <w:snapToGrid w:val="0"/>
              <w:spacing w:line="30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注：</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需提供上述人员相关证书（含盖章页）复印件</w:t>
            </w:r>
            <w:r>
              <w:rPr>
                <w:rFonts w:hint="eastAsia" w:ascii="宋体" w:hAnsi="宋体" w:eastAsia="宋体" w:cs="宋体"/>
                <w:color w:val="auto"/>
                <w:sz w:val="24"/>
                <w:szCs w:val="24"/>
                <w:highlight w:val="none"/>
                <w:lang w:val="en-US" w:eastAsia="zh-CN"/>
              </w:rPr>
              <w:t>及</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为上述人员缴纳</w:t>
            </w:r>
            <w:r>
              <w:rPr>
                <w:rFonts w:hint="eastAsia" w:ascii="宋体" w:hAnsi="宋体" w:eastAsia="宋体" w:cs="宋体"/>
                <w:color w:val="auto"/>
                <w:sz w:val="24"/>
                <w:szCs w:val="24"/>
                <w:highlight w:val="none"/>
              </w:rPr>
              <w:t>过社保的证明材料并加盖公章。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04" w:type="dxa"/>
            <w:vMerge w:val="continue"/>
            <w:vAlign w:val="center"/>
          </w:tcPr>
          <w:p>
            <w:pPr>
              <w:adjustRightInd w:val="0"/>
              <w:snapToGrid w:val="0"/>
              <w:spacing w:line="300" w:lineRule="auto"/>
              <w:jc w:val="center"/>
              <w:rPr>
                <w:rFonts w:hint="eastAsia" w:ascii="宋体" w:hAnsi="宋体" w:eastAsia="宋体" w:cs="宋体"/>
                <w:color w:val="auto"/>
                <w:sz w:val="24"/>
                <w:szCs w:val="24"/>
                <w:highlight w:val="none"/>
              </w:rPr>
            </w:pPr>
          </w:p>
        </w:tc>
        <w:tc>
          <w:tcPr>
            <w:tcW w:w="1796" w:type="dxa"/>
            <w:vAlign w:val="center"/>
          </w:tcPr>
          <w:p>
            <w:pPr>
              <w:adjustRightInd w:val="0"/>
              <w:snapToGrid w:val="0"/>
              <w:spacing w:line="30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授权</w:t>
            </w:r>
          </w:p>
        </w:tc>
        <w:tc>
          <w:tcPr>
            <w:tcW w:w="802" w:type="dxa"/>
            <w:vAlign w:val="center"/>
          </w:tcPr>
          <w:p>
            <w:pPr>
              <w:adjustRightInd w:val="0"/>
              <w:snapToGrid w:val="0"/>
              <w:spacing w:line="30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w:t>
            </w:r>
          </w:p>
        </w:tc>
        <w:tc>
          <w:tcPr>
            <w:tcW w:w="5384" w:type="dxa"/>
            <w:vAlign w:val="center"/>
          </w:tcPr>
          <w:p>
            <w:pPr>
              <w:adjustRightInd w:val="0"/>
              <w:snapToGrid w:val="0"/>
              <w:spacing w:line="30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检定项目应获得市级及以上计量行政部门授权</w:t>
            </w:r>
            <w:r>
              <w:rPr>
                <w:rFonts w:hint="eastAsia" w:ascii="宋体" w:hAnsi="宋体" w:eastAsia="宋体" w:cs="宋体"/>
                <w:color w:val="auto"/>
                <w:sz w:val="24"/>
                <w:szCs w:val="24"/>
                <w:highlight w:val="none"/>
                <w:lang w:val="en-US" w:eastAsia="zh-CN"/>
              </w:rPr>
              <w:t>且</w:t>
            </w:r>
            <w:r>
              <w:rPr>
                <w:rFonts w:hint="eastAsia" w:ascii="宋体" w:hAnsi="宋体" w:eastAsia="宋体" w:cs="宋体"/>
                <w:color w:val="auto"/>
                <w:sz w:val="24"/>
                <w:szCs w:val="24"/>
                <w:highlight w:val="none"/>
              </w:rPr>
              <w:t>计量设备与授权一致</w:t>
            </w:r>
            <w:r>
              <w:rPr>
                <w:rFonts w:hint="eastAsia" w:ascii="宋体" w:hAnsi="宋体" w:eastAsia="宋体" w:cs="宋体"/>
                <w:color w:val="auto"/>
                <w:sz w:val="24"/>
                <w:szCs w:val="24"/>
                <w:highlight w:val="none"/>
                <w:lang w:val="en-US" w:eastAsia="zh-CN"/>
              </w:rPr>
              <w:t>得5分，未获得的得0分</w:t>
            </w:r>
          </w:p>
          <w:p>
            <w:pPr>
              <w:pStyle w:val="34"/>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注：提供相应证明材料的复印件并加盖公章。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04" w:type="dxa"/>
            <w:vMerge w:val="continue"/>
            <w:vAlign w:val="center"/>
          </w:tcPr>
          <w:p>
            <w:pPr>
              <w:adjustRightInd w:val="0"/>
              <w:snapToGrid w:val="0"/>
              <w:spacing w:line="300" w:lineRule="auto"/>
              <w:jc w:val="center"/>
              <w:rPr>
                <w:rFonts w:hint="eastAsia" w:ascii="宋体" w:hAnsi="宋体" w:eastAsia="宋体" w:cs="宋体"/>
                <w:color w:val="auto"/>
                <w:sz w:val="24"/>
                <w:szCs w:val="24"/>
                <w:highlight w:val="none"/>
              </w:rPr>
            </w:pPr>
          </w:p>
        </w:tc>
        <w:tc>
          <w:tcPr>
            <w:tcW w:w="1796" w:type="dxa"/>
            <w:vAlign w:val="center"/>
          </w:tcPr>
          <w:p>
            <w:pPr>
              <w:adjustRightInd w:val="0"/>
              <w:snapToGrid w:val="0"/>
              <w:spacing w:line="300" w:lineRule="auto"/>
              <w:jc w:val="both"/>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检测的分析报告</w:t>
            </w:r>
          </w:p>
        </w:tc>
        <w:tc>
          <w:tcPr>
            <w:tcW w:w="802" w:type="dxa"/>
            <w:vAlign w:val="center"/>
          </w:tcPr>
          <w:p>
            <w:pPr>
              <w:adjustRightInd w:val="0"/>
              <w:snapToGrid w:val="0"/>
              <w:spacing w:line="30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4</w:t>
            </w:r>
          </w:p>
        </w:tc>
        <w:tc>
          <w:tcPr>
            <w:tcW w:w="5384" w:type="dxa"/>
            <w:vAlign w:val="center"/>
          </w:tcPr>
          <w:p>
            <w:pPr>
              <w:adjustRightInd w:val="0"/>
              <w:snapToGrid w:val="0"/>
              <w:spacing w:line="30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可提供本次检测的分析报告</w:t>
            </w:r>
            <w:r>
              <w:rPr>
                <w:rFonts w:hint="eastAsia" w:ascii="宋体" w:hAnsi="宋体" w:eastAsia="宋体" w:cs="宋体"/>
                <w:color w:val="auto"/>
                <w:sz w:val="24"/>
                <w:szCs w:val="24"/>
                <w:highlight w:val="none"/>
                <w:lang w:val="en-US" w:eastAsia="zh-CN"/>
              </w:rPr>
              <w:t>的得4分；不能提供0分</w:t>
            </w:r>
          </w:p>
          <w:p>
            <w:pPr>
              <w:pStyle w:val="34"/>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注：供应商需提供以往检测分析报告或承诺函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04" w:type="dxa"/>
            <w:vAlign w:val="center"/>
          </w:tcPr>
          <w:p>
            <w:pPr>
              <w:adjustRightInd w:val="0"/>
              <w:snapToGrid w:val="0"/>
              <w:spacing w:line="300" w:lineRule="auto"/>
              <w:jc w:val="center"/>
              <w:rPr>
                <w:rFonts w:hint="eastAsia" w:ascii="宋体" w:hAnsi="宋体" w:eastAsia="宋体" w:cs="宋体"/>
                <w:color w:val="auto"/>
                <w:sz w:val="24"/>
                <w:szCs w:val="24"/>
                <w:highlight w:val="none"/>
              </w:rPr>
            </w:pPr>
          </w:p>
        </w:tc>
        <w:tc>
          <w:tcPr>
            <w:tcW w:w="1796" w:type="dxa"/>
            <w:vAlign w:val="center"/>
          </w:tcPr>
          <w:p>
            <w:pPr>
              <w:adjustRightInd w:val="0"/>
              <w:snapToGrid w:val="0"/>
              <w:spacing w:line="300" w:lineRule="auto"/>
              <w:jc w:val="both"/>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文件编制质量</w:t>
            </w:r>
          </w:p>
        </w:tc>
        <w:tc>
          <w:tcPr>
            <w:tcW w:w="802" w:type="dxa"/>
            <w:vAlign w:val="center"/>
          </w:tcPr>
          <w:p>
            <w:pPr>
              <w:adjustRightInd w:val="0"/>
              <w:snapToGrid w:val="0"/>
              <w:spacing w:line="300" w:lineRule="auto"/>
              <w:ind w:firstLine="241" w:firstLineChars="100"/>
              <w:jc w:val="both"/>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w:t>
            </w:r>
          </w:p>
        </w:tc>
        <w:tc>
          <w:tcPr>
            <w:tcW w:w="5384" w:type="dxa"/>
            <w:vAlign w:val="center"/>
          </w:tcPr>
          <w:p>
            <w:pPr>
              <w:adjustRightInd w:val="0"/>
              <w:snapToGrid w:val="0"/>
              <w:spacing w:line="300" w:lineRule="auto"/>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文件装订整齐、目录完整，方便专家评审得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分，每有一处错误或不利于评标专家查找扣1分，最低得0分。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04" w:type="dxa"/>
            <w:vAlign w:val="center"/>
          </w:tcPr>
          <w:p>
            <w:pPr>
              <w:adjustRightInd w:val="0"/>
              <w:snapToGrid w:val="0"/>
              <w:spacing w:line="300" w:lineRule="auto"/>
              <w:jc w:val="center"/>
              <w:rPr>
                <w:rFonts w:hint="eastAsia" w:ascii="宋体" w:hAnsi="宋体" w:eastAsia="宋体" w:cs="宋体"/>
                <w:color w:val="auto"/>
                <w:sz w:val="24"/>
                <w:szCs w:val="24"/>
                <w:highlight w:val="none"/>
              </w:rPr>
            </w:pPr>
          </w:p>
        </w:tc>
        <w:tc>
          <w:tcPr>
            <w:tcW w:w="1796" w:type="dxa"/>
            <w:vAlign w:val="center"/>
          </w:tcPr>
          <w:p>
            <w:pPr>
              <w:adjustRightInd w:val="0"/>
              <w:snapToGrid w:val="0"/>
              <w:spacing w:line="30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满分</w:t>
            </w:r>
          </w:p>
        </w:tc>
        <w:tc>
          <w:tcPr>
            <w:tcW w:w="802" w:type="dxa"/>
            <w:vAlign w:val="center"/>
          </w:tcPr>
          <w:p>
            <w:pPr>
              <w:adjustRightInd w:val="0"/>
              <w:snapToGrid w:val="0"/>
              <w:spacing w:line="30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=SUM(ABOVE) \* MERGEFORMAT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100</w:t>
            </w:r>
            <w:r>
              <w:rPr>
                <w:rFonts w:hint="eastAsia" w:ascii="宋体" w:hAnsi="宋体" w:eastAsia="宋体" w:cs="宋体"/>
                <w:b/>
                <w:color w:val="auto"/>
                <w:sz w:val="24"/>
                <w:szCs w:val="24"/>
                <w:highlight w:val="none"/>
              </w:rPr>
              <w:fldChar w:fldCharType="end"/>
            </w:r>
          </w:p>
        </w:tc>
        <w:tc>
          <w:tcPr>
            <w:tcW w:w="5384" w:type="dxa"/>
            <w:vAlign w:val="center"/>
          </w:tcPr>
          <w:p>
            <w:pPr>
              <w:adjustRightInd w:val="0"/>
              <w:snapToGrid w:val="0"/>
              <w:spacing w:line="300" w:lineRule="auto"/>
              <w:jc w:val="center"/>
              <w:rPr>
                <w:rFonts w:hint="eastAsia" w:ascii="宋体" w:hAnsi="宋体" w:eastAsia="宋体" w:cs="宋体"/>
                <w:color w:val="auto"/>
                <w:sz w:val="24"/>
                <w:szCs w:val="24"/>
                <w:highlight w:val="none"/>
              </w:rPr>
            </w:pPr>
          </w:p>
        </w:tc>
      </w:tr>
    </w:tbl>
    <w:p>
      <w:pPr>
        <w:adjustRightInd w:val="0"/>
        <w:snapToGrid w:val="0"/>
        <w:rPr>
          <w:color w:val="auto"/>
          <w:sz w:val="24"/>
          <w:highlight w:val="none"/>
        </w:rPr>
      </w:pPr>
      <w:r>
        <w:rPr>
          <w:color w:val="auto"/>
          <w:sz w:val="24"/>
          <w:highlight w:val="none"/>
        </w:rPr>
        <w:t>注解1：</w:t>
      </w:r>
      <w:r>
        <w:rPr>
          <w:b/>
          <w:color w:val="auto"/>
          <w:sz w:val="24"/>
          <w:highlight w:val="none"/>
        </w:rPr>
        <w:t>政策优惠</w:t>
      </w:r>
    </w:p>
    <w:p>
      <w:pPr>
        <w:adjustRightInd w:val="0"/>
        <w:snapToGrid w:val="0"/>
        <w:rPr>
          <w:color w:val="auto"/>
          <w:sz w:val="24"/>
          <w:szCs w:val="24"/>
          <w:highlight w:val="none"/>
        </w:rPr>
      </w:pPr>
      <w:r>
        <w:rPr>
          <w:color w:val="auto"/>
          <w:sz w:val="24"/>
          <w:szCs w:val="24"/>
          <w:highlight w:val="none"/>
        </w:rPr>
        <w:t>（1）符合财政部、工信部文件（财库[2020]46号）规定的小微企业可享受</w:t>
      </w:r>
      <w:r>
        <w:rPr>
          <w:rFonts w:hint="eastAsia"/>
          <w:color w:val="auto"/>
          <w:sz w:val="24"/>
          <w:szCs w:val="24"/>
          <w:highlight w:val="none"/>
          <w:lang w:val="en-US" w:eastAsia="zh-CN"/>
        </w:rPr>
        <w:t>10</w:t>
      </w:r>
      <w:r>
        <w:rPr>
          <w:color w:val="auto"/>
          <w:sz w:val="24"/>
          <w:szCs w:val="24"/>
          <w:highlight w:val="none"/>
        </w:rPr>
        <w:t>%的价格扣除。符合财政部、司法部文件（财库[2014]68号）规定的监狱企业及符合财政部、民政部、中国残联文件（财库[2017]141号）规定的残疾人福利性单位亦可享受前述扶持政策。</w:t>
      </w:r>
    </w:p>
    <w:p>
      <w:pPr>
        <w:pStyle w:val="2"/>
        <w:ind w:firstLine="0" w:firstLineChars="0"/>
        <w:rPr>
          <w:rFonts w:ascii="Times New Roman" w:hAnsi="Times New Roman"/>
          <w:color w:val="auto"/>
          <w:highlight w:val="none"/>
        </w:rPr>
      </w:pPr>
    </w:p>
    <w:p>
      <w:pPr>
        <w:adjustRightInd w:val="0"/>
        <w:snapToGrid w:val="0"/>
        <w:rPr>
          <w:color w:val="auto"/>
          <w:sz w:val="24"/>
          <w:szCs w:val="24"/>
          <w:highlight w:val="none"/>
        </w:rPr>
      </w:pPr>
      <w:r>
        <w:rPr>
          <w:color w:val="auto"/>
          <w:sz w:val="24"/>
          <w:szCs w:val="24"/>
          <w:highlight w:val="none"/>
        </w:rPr>
        <w:t>（2）关于节能产品、环境标志产品的相关规定请参见：</w:t>
      </w:r>
    </w:p>
    <w:p>
      <w:pPr>
        <w:adjustRightInd w:val="0"/>
        <w:snapToGrid w:val="0"/>
        <w:rPr>
          <w:color w:val="auto"/>
          <w:sz w:val="24"/>
          <w:szCs w:val="24"/>
          <w:highlight w:val="none"/>
        </w:rPr>
      </w:pPr>
      <w:r>
        <w:rPr>
          <w:color w:val="auto"/>
          <w:sz w:val="24"/>
          <w:szCs w:val="24"/>
          <w:highlight w:val="none"/>
        </w:rPr>
        <w:t>《财政部 发展改革委 生态环境部 市场监管总局关于调整优化节能产品 环境标志产品政府采购执行机制的通知》（财库〔2019〕9号）</w:t>
      </w:r>
    </w:p>
    <w:p>
      <w:pPr>
        <w:adjustRightInd w:val="0"/>
        <w:snapToGrid w:val="0"/>
        <w:rPr>
          <w:color w:val="auto"/>
          <w:sz w:val="24"/>
          <w:szCs w:val="24"/>
          <w:highlight w:val="none"/>
        </w:rPr>
      </w:pPr>
      <w:r>
        <w:rPr>
          <w:color w:val="auto"/>
          <w:sz w:val="24"/>
          <w:szCs w:val="24"/>
          <w:highlight w:val="none"/>
        </w:rPr>
        <w:t>《关于印发环境标志产品政府采购品目清单的通知》（财库〔2019〕18号）</w:t>
      </w:r>
    </w:p>
    <w:p>
      <w:pPr>
        <w:adjustRightInd w:val="0"/>
        <w:snapToGrid w:val="0"/>
        <w:rPr>
          <w:color w:val="auto"/>
          <w:sz w:val="24"/>
          <w:szCs w:val="24"/>
          <w:highlight w:val="none"/>
        </w:rPr>
      </w:pPr>
      <w:r>
        <w:rPr>
          <w:color w:val="auto"/>
          <w:sz w:val="24"/>
          <w:szCs w:val="24"/>
          <w:highlight w:val="none"/>
        </w:rPr>
        <w:t>《关于印发节能产品政府采购品目清单的通知》(财库〔2019〕19号)</w:t>
      </w:r>
    </w:p>
    <w:p>
      <w:pPr>
        <w:adjustRightInd w:val="0"/>
        <w:snapToGrid w:val="0"/>
        <w:rPr>
          <w:color w:val="auto"/>
          <w:sz w:val="24"/>
          <w:highlight w:val="none"/>
        </w:rPr>
      </w:pPr>
      <w:r>
        <w:rPr>
          <w:color w:val="auto"/>
          <w:sz w:val="24"/>
          <w:szCs w:val="24"/>
          <w:highlight w:val="none"/>
        </w:rPr>
        <w:t>《市场监管总局关于发布参与实施政府采购节能产品、环境标志产品认证机构名录的公告》（2019年第16号）</w:t>
      </w:r>
    </w:p>
    <w:p>
      <w:pPr>
        <w:adjustRightInd w:val="0"/>
        <w:snapToGrid w:val="0"/>
        <w:rPr>
          <w:color w:val="auto"/>
          <w:sz w:val="24"/>
          <w:highlight w:val="none"/>
        </w:rPr>
      </w:pPr>
    </w:p>
    <w:p>
      <w:pPr>
        <w:adjustRightInd w:val="0"/>
        <w:snapToGrid w:val="0"/>
        <w:rPr>
          <w:color w:val="auto"/>
          <w:sz w:val="24"/>
          <w:highlight w:val="none"/>
        </w:rPr>
      </w:pPr>
    </w:p>
    <w:p>
      <w:pPr>
        <w:rPr>
          <w:rFonts w:hint="eastAsia" w:ascii="宋体" w:hAnsi="宋体" w:eastAsia="宋体" w:cs="宋体"/>
          <w:color w:val="auto"/>
          <w:highlight w:val="none"/>
        </w:rPr>
      </w:pPr>
      <w:r>
        <w:rPr>
          <w:color w:val="auto"/>
          <w:sz w:val="24"/>
          <w:highlight w:val="none"/>
        </w:rPr>
        <w:t>注解2：除非有特殊情况，评分统计按四舍五入精确到小数点后2位。</w:t>
      </w:r>
      <w:bookmarkStart w:id="1003" w:name="_GoBack"/>
      <w:bookmarkEnd w:id="1003"/>
    </w:p>
    <w:bookmarkEnd w:id="115"/>
    <w:bookmarkEnd w:id="116"/>
    <w:bookmarkEnd w:id="117"/>
    <w:p>
      <w:pPr>
        <w:pageBreakBefore/>
        <w:snapToGrid w:val="0"/>
        <w:spacing w:line="300" w:lineRule="auto"/>
        <w:rPr>
          <w:rFonts w:hint="eastAsia" w:ascii="宋体" w:hAnsi="宋体" w:eastAsia="宋体" w:cs="宋体"/>
          <w:color w:val="auto"/>
          <w:highlight w:val="none"/>
        </w:rPr>
      </w:pPr>
    </w:p>
    <w:p>
      <w:pPr>
        <w:snapToGrid w:val="0"/>
        <w:spacing w:line="300" w:lineRule="auto"/>
        <w:rPr>
          <w:rFonts w:hint="eastAsia" w:ascii="宋体" w:hAnsi="宋体" w:eastAsia="宋体" w:cs="宋体"/>
          <w:color w:val="auto"/>
          <w:highlight w:val="none"/>
        </w:rPr>
      </w:pPr>
    </w:p>
    <w:p>
      <w:pPr>
        <w:pStyle w:val="5"/>
        <w:snapToGrid w:val="0"/>
        <w:spacing w:before="0" w:after="0" w:line="300" w:lineRule="auto"/>
        <w:jc w:val="center"/>
        <w:rPr>
          <w:rFonts w:hint="eastAsia" w:ascii="宋体" w:hAnsi="宋体" w:eastAsia="宋体" w:cs="宋体"/>
          <w:color w:val="auto"/>
          <w:highlight w:val="none"/>
        </w:rPr>
      </w:pPr>
      <w:bookmarkStart w:id="120" w:name="_Toc15454"/>
      <w:bookmarkStart w:id="121" w:name="_Toc379571894"/>
      <w:bookmarkStart w:id="122" w:name="_Toc514"/>
      <w:bookmarkStart w:id="123" w:name="_Toc2025"/>
      <w:bookmarkStart w:id="124" w:name="_Toc377394450"/>
      <w:bookmarkStart w:id="125" w:name="_Toc3404"/>
      <w:bookmarkStart w:id="126" w:name="_Toc352357935"/>
      <w:bookmarkStart w:id="127" w:name="_Toc276043873"/>
      <w:bookmarkStart w:id="128" w:name="_Toc2215"/>
      <w:bookmarkStart w:id="129" w:name="_Toc250381448"/>
      <w:bookmarkStart w:id="130" w:name="_Toc298"/>
      <w:bookmarkStart w:id="131" w:name="_Toc201073551"/>
      <w:bookmarkStart w:id="132" w:name="_Toc9216"/>
      <w:bookmarkStart w:id="133" w:name="_Toc374966490"/>
      <w:bookmarkStart w:id="134" w:name="_Toc191744953"/>
      <w:bookmarkStart w:id="135" w:name="_Toc232434655"/>
      <w:bookmarkStart w:id="136" w:name="_Toc3118"/>
      <w:bookmarkStart w:id="137" w:name="_Toc210192418"/>
      <w:bookmarkStart w:id="138" w:name="_Toc13312"/>
      <w:bookmarkStart w:id="139" w:name="_Toc201074576"/>
      <w:bookmarkStart w:id="140" w:name="_Toc11436"/>
      <w:bookmarkStart w:id="141" w:name="_Toc8370"/>
      <w:bookmarkStart w:id="142" w:name="_Toc414456722"/>
      <w:bookmarkStart w:id="143" w:name="_Toc239138576"/>
      <w:bookmarkStart w:id="144" w:name="_Toc352358149"/>
      <w:bookmarkStart w:id="145" w:name="_Toc201072205"/>
      <w:bookmarkStart w:id="146" w:name="_Toc8845608"/>
      <w:bookmarkStart w:id="147" w:name="_Toc52417579"/>
      <w:bookmarkStart w:id="148" w:name="_Toc8845524"/>
      <w:bookmarkStart w:id="149" w:name="_Toc509110860"/>
      <w:bookmarkStart w:id="150" w:name="_Toc527379462"/>
      <w:bookmarkStart w:id="151" w:name="_Toc46107904"/>
      <w:bookmarkStart w:id="152" w:name="_Toc21854767"/>
      <w:bookmarkStart w:id="153" w:name="_Toc524703762"/>
      <w:bookmarkStart w:id="154" w:name="_Toc46304753"/>
      <w:bookmarkStart w:id="155" w:name="_Toc516329162"/>
      <w:bookmarkStart w:id="156" w:name="_Toc516327934"/>
      <w:bookmarkStart w:id="157" w:name="_Toc509381466"/>
      <w:bookmarkStart w:id="158" w:name="_Toc524089152"/>
      <w:bookmarkStart w:id="159" w:name="_Toc524092612"/>
      <w:bookmarkStart w:id="160" w:name="_Toc8845681"/>
      <w:bookmarkStart w:id="161" w:name="_Toc52503451"/>
      <w:bookmarkStart w:id="162" w:name="_Toc509111509"/>
      <w:bookmarkStart w:id="163" w:name="_Toc509107562"/>
      <w:bookmarkStart w:id="164" w:name="_Toc524092270"/>
      <w:bookmarkStart w:id="165" w:name="_Toc9303253"/>
      <w:bookmarkStart w:id="166" w:name="_Toc524092737"/>
      <w:bookmarkStart w:id="167" w:name="_Toc509110762"/>
      <w:bookmarkStart w:id="168" w:name="_Toc524092464"/>
      <w:r>
        <w:rPr>
          <w:rFonts w:hint="eastAsia" w:ascii="宋体" w:hAnsi="宋体" w:eastAsia="宋体" w:cs="宋体"/>
          <w:color w:val="auto"/>
          <w:highlight w:val="none"/>
        </w:rPr>
        <w:t>第三部分 供应商须知</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pPr>
        <w:rPr>
          <w:rFonts w:hint="eastAsia" w:ascii="宋体" w:hAnsi="宋体" w:eastAsia="宋体" w:cs="宋体"/>
          <w:color w:val="auto"/>
          <w:highlight w:val="none"/>
        </w:rPr>
      </w:pPr>
    </w:p>
    <w:p>
      <w:pPr>
        <w:pStyle w:val="5"/>
        <w:snapToGrid w:val="0"/>
        <w:spacing w:before="0" w:after="0" w:line="300" w:lineRule="auto"/>
        <w:jc w:val="center"/>
        <w:rPr>
          <w:rFonts w:hint="eastAsia" w:ascii="宋体" w:hAnsi="宋体" w:eastAsia="宋体" w:cs="宋体"/>
          <w:color w:val="auto"/>
          <w:highlight w:val="none"/>
        </w:rPr>
      </w:pPr>
      <w:bookmarkStart w:id="169" w:name="_Toc191744954"/>
      <w:bookmarkStart w:id="170" w:name="_Toc250381449"/>
      <w:bookmarkStart w:id="171" w:name="_Toc19512"/>
      <w:bookmarkStart w:id="172" w:name="_Toc11894"/>
      <w:bookmarkStart w:id="173" w:name="_Toc24668"/>
      <w:bookmarkStart w:id="174" w:name="_Toc201072206"/>
      <w:bookmarkStart w:id="175" w:name="_Toc14942"/>
      <w:bookmarkStart w:id="176" w:name="_Toc8285"/>
      <w:bookmarkStart w:id="177" w:name="_Toc377394451"/>
      <w:bookmarkStart w:id="178" w:name="_Toc201073552"/>
      <w:bookmarkStart w:id="179" w:name="_Toc18340"/>
      <w:bookmarkStart w:id="180" w:name="_Toc414456723"/>
      <w:bookmarkStart w:id="181" w:name="_Toc11422"/>
      <w:bookmarkStart w:id="182" w:name="_Toc239138577"/>
      <w:bookmarkStart w:id="183" w:name="_Toc379571895"/>
      <w:bookmarkStart w:id="184" w:name="_Toc232434656"/>
      <w:bookmarkStart w:id="185" w:name="_Toc9692"/>
      <w:bookmarkStart w:id="186" w:name="_Toc24032"/>
      <w:bookmarkStart w:id="187" w:name="_Toc10060"/>
      <w:bookmarkStart w:id="188" w:name="_Toc28164"/>
      <w:bookmarkStart w:id="189" w:name="_Toc29095"/>
      <w:bookmarkStart w:id="190" w:name="_Toc30535"/>
      <w:bookmarkStart w:id="191" w:name="_Toc276043874"/>
      <w:bookmarkStart w:id="192" w:name="_Toc5558"/>
      <w:bookmarkStart w:id="193" w:name="_Toc374966491"/>
      <w:bookmarkStart w:id="194" w:name="_Toc24753"/>
      <w:bookmarkStart w:id="195" w:name="_Toc14909"/>
      <w:bookmarkStart w:id="196" w:name="_Toc352358150"/>
      <w:bookmarkStart w:id="197" w:name="_Toc210192419"/>
      <w:bookmarkStart w:id="198" w:name="_Toc201074577"/>
      <w:bookmarkStart w:id="199" w:name="_Toc352357936"/>
      <w:r>
        <w:rPr>
          <w:rFonts w:hint="eastAsia" w:ascii="宋体" w:hAnsi="宋体" w:eastAsia="宋体" w:cs="宋体"/>
          <w:color w:val="auto"/>
          <w:sz w:val="28"/>
          <w:highlight w:val="none"/>
        </w:rPr>
        <w:t>一、说明</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pPr>
        <w:pStyle w:val="6"/>
        <w:snapToGrid w:val="0"/>
        <w:spacing w:before="0" w:after="0" w:line="300" w:lineRule="auto"/>
        <w:rPr>
          <w:rFonts w:hint="eastAsia" w:ascii="宋体" w:hAnsi="宋体" w:eastAsia="宋体" w:cs="宋体"/>
          <w:color w:val="auto"/>
          <w:highlight w:val="none"/>
        </w:rPr>
      </w:pPr>
      <w:bookmarkStart w:id="200" w:name="_Toc187472334"/>
      <w:bookmarkStart w:id="201" w:name="_Toc374966492"/>
      <w:bookmarkStart w:id="202" w:name="_Toc250381450"/>
      <w:bookmarkStart w:id="203" w:name="_Toc187672025"/>
      <w:bookmarkStart w:id="204" w:name="_Toc191744955"/>
      <w:bookmarkStart w:id="205" w:name="_Toc183524967"/>
      <w:bookmarkStart w:id="206" w:name="_Toc352357937"/>
      <w:bookmarkStart w:id="207" w:name="_Toc180073583"/>
      <w:bookmarkStart w:id="208" w:name="_Toc183568584"/>
      <w:bookmarkStart w:id="209" w:name="_Toc187472134"/>
      <w:bookmarkStart w:id="210" w:name="_Toc187472208"/>
      <w:bookmarkStart w:id="211" w:name="_Toc276043875"/>
      <w:r>
        <w:rPr>
          <w:rFonts w:hint="eastAsia" w:ascii="宋体" w:hAnsi="宋体" w:eastAsia="宋体" w:cs="宋体"/>
          <w:color w:val="auto"/>
          <w:highlight w:val="none"/>
        </w:rPr>
        <w:t>1. 概述</w:t>
      </w:r>
      <w:bookmarkEnd w:id="200"/>
      <w:bookmarkEnd w:id="201"/>
      <w:bookmarkEnd w:id="202"/>
      <w:bookmarkEnd w:id="203"/>
      <w:bookmarkEnd w:id="204"/>
      <w:bookmarkEnd w:id="205"/>
      <w:bookmarkEnd w:id="206"/>
      <w:bookmarkEnd w:id="207"/>
      <w:bookmarkEnd w:id="208"/>
      <w:bookmarkEnd w:id="209"/>
      <w:bookmarkEnd w:id="210"/>
      <w:bookmarkEnd w:id="211"/>
    </w:p>
    <w:p>
      <w:pPr>
        <w:widowControl/>
        <w:snapToGrid w:val="0"/>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1.1采购代理机构受采购人委托,就</w:t>
      </w:r>
      <w:r>
        <w:rPr>
          <w:rFonts w:hint="eastAsia" w:ascii="宋体" w:hAnsi="宋体" w:eastAsia="宋体" w:cs="宋体"/>
          <w:b/>
          <w:color w:val="auto"/>
          <w:sz w:val="24"/>
          <w:highlight w:val="none"/>
        </w:rPr>
        <w:t>第一章</w:t>
      </w:r>
      <w:r>
        <w:rPr>
          <w:rFonts w:hint="eastAsia" w:ascii="宋体" w:hAnsi="宋体" w:eastAsia="宋体" w:cs="宋体"/>
          <w:color w:val="auto"/>
          <w:sz w:val="24"/>
          <w:highlight w:val="none"/>
        </w:rPr>
        <w:t>中规定的项目进行磋商，本磋商文件仅适用于磋商邀请中所叙述项目的采购。用于本项目采购的资金来源见</w:t>
      </w:r>
      <w:r>
        <w:rPr>
          <w:rFonts w:hint="eastAsia" w:ascii="宋体" w:hAnsi="宋体" w:eastAsia="宋体" w:cs="宋体"/>
          <w:b/>
          <w:color w:val="auto"/>
          <w:sz w:val="24"/>
          <w:highlight w:val="none"/>
        </w:rPr>
        <w:t>第一章</w:t>
      </w:r>
      <w:r>
        <w:rPr>
          <w:rFonts w:hint="eastAsia" w:ascii="宋体" w:hAnsi="宋体" w:eastAsia="宋体" w:cs="宋体"/>
          <w:color w:val="auto"/>
          <w:sz w:val="24"/>
          <w:highlight w:val="none"/>
        </w:rPr>
        <w:t xml:space="preserve"> 。</w:t>
      </w:r>
    </w:p>
    <w:p>
      <w:pPr>
        <w:snapToGrid w:val="0"/>
        <w:spacing w:line="300" w:lineRule="auto"/>
        <w:rPr>
          <w:rFonts w:hint="eastAsia" w:ascii="宋体" w:hAnsi="宋体" w:eastAsia="宋体" w:cs="宋体"/>
          <w:color w:val="auto"/>
          <w:sz w:val="24"/>
          <w:highlight w:val="none"/>
        </w:rPr>
      </w:pPr>
    </w:p>
    <w:p>
      <w:pPr>
        <w:snapToGrid w:val="0"/>
        <w:spacing w:line="300" w:lineRule="auto"/>
        <w:jc w:val="left"/>
        <w:rPr>
          <w:rFonts w:hint="eastAsia" w:ascii="宋体" w:hAnsi="宋体" w:eastAsia="宋体" w:cs="宋体"/>
          <w:color w:val="auto"/>
          <w:highlight w:val="none"/>
        </w:rPr>
      </w:pPr>
      <w:bookmarkStart w:id="212" w:name="_Toc191744956"/>
      <w:bookmarkStart w:id="213" w:name="_Toc374966493"/>
      <w:bookmarkStart w:id="214" w:name="_Toc352357938"/>
      <w:bookmarkStart w:id="215" w:name="_Toc187672026"/>
      <w:bookmarkStart w:id="216" w:name="_Toc180073584"/>
      <w:bookmarkStart w:id="217" w:name="_Toc187472209"/>
      <w:bookmarkStart w:id="218" w:name="_Toc183524968"/>
      <w:bookmarkStart w:id="219" w:name="_Toc250381451"/>
      <w:bookmarkStart w:id="220" w:name="_Toc187472335"/>
      <w:bookmarkStart w:id="221" w:name="_Toc183568585"/>
      <w:bookmarkStart w:id="222" w:name="_Toc187472135"/>
      <w:bookmarkStart w:id="223" w:name="_Toc276043876"/>
      <w:r>
        <w:rPr>
          <w:rFonts w:hint="eastAsia" w:ascii="宋体" w:hAnsi="宋体" w:eastAsia="宋体" w:cs="宋体"/>
          <w:b/>
          <w:color w:val="auto"/>
          <w:sz w:val="24"/>
          <w:highlight w:val="none"/>
        </w:rPr>
        <w:t>2．合格的</w:t>
      </w:r>
      <w:bookmarkEnd w:id="212"/>
      <w:bookmarkEnd w:id="213"/>
      <w:bookmarkEnd w:id="214"/>
      <w:bookmarkEnd w:id="215"/>
      <w:bookmarkEnd w:id="216"/>
      <w:bookmarkEnd w:id="217"/>
      <w:bookmarkEnd w:id="218"/>
      <w:bookmarkEnd w:id="219"/>
      <w:bookmarkEnd w:id="220"/>
      <w:bookmarkEnd w:id="221"/>
      <w:bookmarkEnd w:id="222"/>
      <w:bookmarkEnd w:id="223"/>
      <w:r>
        <w:rPr>
          <w:rFonts w:hint="eastAsia" w:ascii="宋体" w:hAnsi="宋体" w:eastAsia="宋体" w:cs="宋体"/>
          <w:b/>
          <w:color w:val="auto"/>
          <w:sz w:val="24"/>
          <w:highlight w:val="none"/>
        </w:rPr>
        <w:t>供应商</w:t>
      </w:r>
    </w:p>
    <w:p>
      <w:pPr>
        <w:snapToGrid w:val="0"/>
        <w:spacing w:line="300" w:lineRule="auto"/>
        <w:jc w:val="left"/>
        <w:rPr>
          <w:rFonts w:hint="eastAsia" w:ascii="宋体" w:hAnsi="宋体" w:eastAsia="宋体" w:cs="宋体"/>
          <w:color w:val="auto"/>
          <w:highlight w:val="none"/>
        </w:rPr>
      </w:pPr>
      <w:r>
        <w:rPr>
          <w:rFonts w:hint="eastAsia" w:ascii="宋体" w:hAnsi="宋体" w:eastAsia="宋体" w:cs="宋体"/>
          <w:color w:val="auto"/>
          <w:sz w:val="24"/>
          <w:highlight w:val="none"/>
        </w:rPr>
        <w:t>2.1 供应商应具备下列条件：</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xml:space="preserve">（1）具有独立承担民事责任的能力； </w:t>
      </w:r>
    </w:p>
    <w:p>
      <w:pPr>
        <w:snapToGrid w:val="0"/>
        <w:spacing w:line="300" w:lineRule="auto"/>
        <w:jc w:val="left"/>
        <w:rPr>
          <w:rFonts w:hint="eastAsia" w:ascii="宋体" w:hAnsi="宋体" w:eastAsia="宋体" w:cs="宋体"/>
          <w:color w:val="auto"/>
          <w:highlight w:val="none"/>
        </w:rPr>
      </w:pPr>
      <w:r>
        <w:rPr>
          <w:rFonts w:hint="eastAsia" w:ascii="宋体" w:hAnsi="宋体" w:eastAsia="宋体" w:cs="宋体"/>
          <w:color w:val="auto"/>
          <w:sz w:val="24"/>
          <w:highlight w:val="none"/>
        </w:rPr>
        <w:t xml:space="preserve">（2）具有良好的信誉和健全的财务会计制度； </w:t>
      </w:r>
    </w:p>
    <w:p>
      <w:pPr>
        <w:snapToGrid w:val="0"/>
        <w:spacing w:line="300" w:lineRule="auto"/>
        <w:jc w:val="left"/>
        <w:rPr>
          <w:rFonts w:hint="eastAsia" w:ascii="宋体" w:hAnsi="宋体" w:eastAsia="宋体" w:cs="宋体"/>
          <w:color w:val="auto"/>
          <w:highlight w:val="none"/>
        </w:rPr>
      </w:pPr>
      <w:r>
        <w:rPr>
          <w:rFonts w:hint="eastAsia" w:ascii="宋体" w:hAnsi="宋体" w:eastAsia="宋体" w:cs="宋体"/>
          <w:color w:val="auto"/>
          <w:sz w:val="24"/>
          <w:highlight w:val="none"/>
        </w:rPr>
        <w:t xml:space="preserve">（3）具有履行合同所必需的设备和专业技术能力； </w:t>
      </w:r>
    </w:p>
    <w:p>
      <w:pPr>
        <w:snapToGrid w:val="0"/>
        <w:spacing w:line="300" w:lineRule="auto"/>
        <w:jc w:val="left"/>
        <w:rPr>
          <w:rFonts w:hint="eastAsia" w:ascii="宋体" w:hAnsi="宋体" w:eastAsia="宋体" w:cs="宋体"/>
          <w:color w:val="auto"/>
          <w:highlight w:val="none"/>
        </w:rPr>
      </w:pPr>
      <w:r>
        <w:rPr>
          <w:rFonts w:hint="eastAsia" w:ascii="宋体" w:hAnsi="宋体" w:eastAsia="宋体" w:cs="宋体"/>
          <w:color w:val="auto"/>
          <w:sz w:val="24"/>
          <w:highlight w:val="none"/>
        </w:rPr>
        <w:t xml:space="preserve">（4）有依法缴纳税收和社会保障资金的良好记录； </w:t>
      </w:r>
    </w:p>
    <w:p>
      <w:pPr>
        <w:snapToGrid w:val="0"/>
        <w:spacing w:line="300" w:lineRule="auto"/>
        <w:jc w:val="left"/>
        <w:rPr>
          <w:rFonts w:hint="eastAsia" w:ascii="宋体" w:hAnsi="宋体" w:eastAsia="宋体" w:cs="宋体"/>
          <w:color w:val="auto"/>
          <w:highlight w:val="none"/>
        </w:rPr>
      </w:pPr>
      <w:r>
        <w:rPr>
          <w:rFonts w:hint="eastAsia" w:ascii="宋体" w:hAnsi="宋体" w:eastAsia="宋体" w:cs="宋体"/>
          <w:color w:val="auto"/>
          <w:sz w:val="24"/>
          <w:highlight w:val="none"/>
        </w:rPr>
        <w:t xml:space="preserve">（5）参加本次政府采购活动前三年内，在经营活动中没有重大违法记录。 </w:t>
      </w:r>
    </w:p>
    <w:p>
      <w:pPr>
        <w:snapToGrid w:val="0"/>
        <w:spacing w:line="300" w:lineRule="auto"/>
        <w:jc w:val="left"/>
        <w:rPr>
          <w:rFonts w:hint="eastAsia" w:ascii="宋体" w:hAnsi="宋体" w:eastAsia="宋体" w:cs="宋体"/>
          <w:color w:val="auto"/>
          <w:sz w:val="24"/>
          <w:highlight w:val="none"/>
        </w:rPr>
      </w:pPr>
    </w:p>
    <w:p>
      <w:pPr>
        <w:snapToGrid w:val="0"/>
        <w:spacing w:line="300" w:lineRule="auto"/>
        <w:jc w:val="left"/>
        <w:rPr>
          <w:rFonts w:hint="eastAsia" w:ascii="宋体" w:hAnsi="宋体" w:eastAsia="宋体" w:cs="宋体"/>
          <w:color w:val="auto"/>
          <w:highlight w:val="none"/>
        </w:rPr>
      </w:pPr>
      <w:r>
        <w:rPr>
          <w:rFonts w:hint="eastAsia" w:ascii="宋体" w:hAnsi="宋体" w:eastAsia="宋体" w:cs="宋体"/>
          <w:color w:val="auto"/>
          <w:sz w:val="24"/>
          <w:highlight w:val="none"/>
        </w:rPr>
        <w:t>2.2 法定代表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pStyle w:val="91"/>
        <w:spacing w:line="300" w:lineRule="auto"/>
        <w:rPr>
          <w:rFonts w:hint="eastAsia" w:ascii="宋体" w:hAnsi="宋体" w:eastAsia="宋体" w:cs="宋体"/>
          <w:color w:val="auto"/>
          <w:highlight w:val="none"/>
        </w:rPr>
      </w:pPr>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2.3凡违反国家相关的法律、法规和规章制度中相关规定而不能成为合格供应商的单位或在本项目采购期间被政府有关部门禁止参加相关政府采购活动的单位将被拒绝。</w:t>
      </w:r>
    </w:p>
    <w:p>
      <w:pPr>
        <w:snapToGrid w:val="0"/>
        <w:spacing w:line="300" w:lineRule="auto"/>
        <w:rPr>
          <w:rFonts w:hint="eastAsia" w:ascii="宋体" w:hAnsi="宋体" w:eastAsia="宋体" w:cs="宋体"/>
          <w:color w:val="auto"/>
          <w:sz w:val="24"/>
          <w:highlight w:val="none"/>
        </w:rPr>
      </w:pPr>
    </w:p>
    <w:p>
      <w:pPr>
        <w:pStyle w:val="6"/>
        <w:snapToGrid w:val="0"/>
        <w:spacing w:before="0" w:after="0" w:line="300" w:lineRule="auto"/>
        <w:rPr>
          <w:rFonts w:hint="eastAsia" w:ascii="宋体" w:hAnsi="宋体" w:eastAsia="宋体" w:cs="宋体"/>
          <w:color w:val="auto"/>
          <w:highlight w:val="none"/>
        </w:rPr>
      </w:pPr>
      <w:bookmarkStart w:id="224" w:name="_Toc183568586"/>
      <w:bookmarkStart w:id="225" w:name="_Toc250381452"/>
      <w:bookmarkStart w:id="226" w:name="_Toc187472136"/>
      <w:bookmarkStart w:id="227" w:name="_Toc187472210"/>
      <w:bookmarkStart w:id="228" w:name="_Toc276043877"/>
      <w:bookmarkStart w:id="229" w:name="_Toc187672027"/>
      <w:bookmarkStart w:id="230" w:name="_Toc187472336"/>
      <w:bookmarkStart w:id="231" w:name="_Toc374966494"/>
      <w:bookmarkStart w:id="232" w:name="_Toc191744957"/>
      <w:bookmarkStart w:id="233" w:name="_Toc352357939"/>
      <w:bookmarkStart w:id="234" w:name="_Toc180073585"/>
      <w:bookmarkStart w:id="235" w:name="_Toc183524969"/>
      <w:r>
        <w:rPr>
          <w:rFonts w:hint="eastAsia" w:ascii="宋体" w:hAnsi="宋体" w:eastAsia="宋体" w:cs="宋体"/>
          <w:color w:val="auto"/>
          <w:highlight w:val="none"/>
        </w:rPr>
        <w:t>3. 磋商费用</w:t>
      </w:r>
      <w:bookmarkEnd w:id="224"/>
      <w:bookmarkEnd w:id="225"/>
      <w:bookmarkEnd w:id="226"/>
      <w:bookmarkEnd w:id="227"/>
      <w:bookmarkEnd w:id="228"/>
      <w:bookmarkEnd w:id="229"/>
      <w:bookmarkEnd w:id="230"/>
      <w:bookmarkEnd w:id="231"/>
      <w:bookmarkEnd w:id="232"/>
      <w:bookmarkEnd w:id="233"/>
      <w:bookmarkEnd w:id="234"/>
      <w:bookmarkEnd w:id="235"/>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3.1供应商应承担其自身参与此次采购的所有费用。不论结果如何，采购代理机构和采购人在任何情况下均无义务和责任承担这些费用。</w:t>
      </w:r>
    </w:p>
    <w:p>
      <w:pPr>
        <w:pStyle w:val="91"/>
        <w:spacing w:line="300" w:lineRule="auto"/>
        <w:rPr>
          <w:rFonts w:hint="eastAsia" w:ascii="宋体" w:hAnsi="宋体" w:eastAsia="宋体" w:cs="宋体"/>
          <w:color w:val="auto"/>
          <w:sz w:val="24"/>
          <w:highlight w:val="none"/>
        </w:rPr>
      </w:pPr>
    </w:p>
    <w:p>
      <w:pPr>
        <w:pStyle w:val="5"/>
        <w:snapToGrid w:val="0"/>
        <w:spacing w:before="0" w:after="0" w:line="300" w:lineRule="auto"/>
        <w:jc w:val="center"/>
        <w:rPr>
          <w:rFonts w:hint="eastAsia" w:ascii="宋体" w:hAnsi="宋体" w:eastAsia="宋体" w:cs="宋体"/>
          <w:color w:val="auto"/>
          <w:highlight w:val="none"/>
        </w:rPr>
      </w:pPr>
      <w:bookmarkStart w:id="236" w:name="_Toc379571896"/>
      <w:bookmarkStart w:id="237" w:name="_Toc352357940"/>
      <w:bookmarkStart w:id="238" w:name="_Toc201073553"/>
      <w:bookmarkStart w:id="239" w:name="_Toc377394452"/>
      <w:bookmarkStart w:id="240" w:name="_Toc352358151"/>
      <w:bookmarkStart w:id="241" w:name="_Toc191744958"/>
      <w:bookmarkStart w:id="242" w:name="_Toc239138578"/>
      <w:bookmarkStart w:id="243" w:name="_Toc210192420"/>
      <w:bookmarkStart w:id="244" w:name="_Toc276043878"/>
      <w:bookmarkStart w:id="245" w:name="_Toc201072207"/>
      <w:bookmarkStart w:id="246" w:name="_Toc374966495"/>
      <w:bookmarkStart w:id="247" w:name="_Toc232434657"/>
      <w:bookmarkStart w:id="248" w:name="_Toc201074578"/>
      <w:bookmarkStart w:id="249" w:name="_Toc250381453"/>
      <w:bookmarkStart w:id="250" w:name="_Toc2800"/>
      <w:bookmarkStart w:id="251" w:name="_Toc22000"/>
      <w:bookmarkStart w:id="252" w:name="_Toc24251"/>
      <w:bookmarkStart w:id="253" w:name="_Toc414456724"/>
      <w:bookmarkStart w:id="254" w:name="_Toc21383"/>
      <w:bookmarkStart w:id="255" w:name="_Toc12528"/>
      <w:bookmarkStart w:id="256" w:name="_Toc23503"/>
      <w:bookmarkStart w:id="257" w:name="_Toc12305"/>
      <w:bookmarkStart w:id="258" w:name="_Toc14477"/>
      <w:bookmarkStart w:id="259" w:name="_Toc4234"/>
      <w:bookmarkStart w:id="260" w:name="_Toc11848"/>
      <w:bookmarkStart w:id="261" w:name="_Toc30233"/>
      <w:bookmarkStart w:id="262" w:name="_Toc7785"/>
      <w:r>
        <w:rPr>
          <w:rFonts w:hint="eastAsia" w:ascii="宋体" w:hAnsi="宋体" w:eastAsia="宋体" w:cs="宋体"/>
          <w:color w:val="auto"/>
          <w:sz w:val="28"/>
          <w:highlight w:val="none"/>
        </w:rPr>
        <w:t>二、</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rFonts w:hint="eastAsia" w:ascii="宋体" w:hAnsi="宋体" w:eastAsia="宋体" w:cs="宋体"/>
          <w:color w:val="auto"/>
          <w:sz w:val="28"/>
          <w:highlight w:val="none"/>
        </w:rPr>
        <w:t>磋商文件</w:t>
      </w:r>
      <w:bookmarkEnd w:id="250"/>
      <w:bookmarkEnd w:id="251"/>
      <w:bookmarkEnd w:id="252"/>
      <w:bookmarkEnd w:id="253"/>
      <w:bookmarkEnd w:id="254"/>
      <w:bookmarkEnd w:id="255"/>
      <w:bookmarkEnd w:id="256"/>
      <w:bookmarkEnd w:id="257"/>
      <w:bookmarkEnd w:id="258"/>
      <w:bookmarkEnd w:id="259"/>
      <w:bookmarkEnd w:id="260"/>
      <w:bookmarkEnd w:id="261"/>
      <w:bookmarkEnd w:id="262"/>
    </w:p>
    <w:p>
      <w:pPr>
        <w:snapToGrid w:val="0"/>
        <w:spacing w:line="300" w:lineRule="auto"/>
        <w:rPr>
          <w:rFonts w:hint="eastAsia" w:ascii="宋体" w:hAnsi="宋体" w:eastAsia="宋体" w:cs="宋体"/>
          <w:color w:val="auto"/>
          <w:highlight w:val="none"/>
        </w:rPr>
      </w:pPr>
    </w:p>
    <w:p>
      <w:pPr>
        <w:pStyle w:val="6"/>
        <w:snapToGrid w:val="0"/>
        <w:spacing w:before="0" w:after="0" w:line="300" w:lineRule="auto"/>
        <w:rPr>
          <w:rFonts w:hint="eastAsia" w:ascii="宋体" w:hAnsi="宋体" w:eastAsia="宋体" w:cs="宋体"/>
          <w:color w:val="auto"/>
          <w:highlight w:val="none"/>
        </w:rPr>
      </w:pPr>
      <w:bookmarkStart w:id="263" w:name="_Toc180073587"/>
      <w:bookmarkStart w:id="264" w:name="_Toc187472338"/>
      <w:bookmarkStart w:id="265" w:name="_Toc276043879"/>
      <w:bookmarkStart w:id="266" w:name="_Toc183524971"/>
      <w:bookmarkStart w:id="267" w:name="_Toc187472138"/>
      <w:bookmarkStart w:id="268" w:name="_Toc191744959"/>
      <w:bookmarkStart w:id="269" w:name="_Toc187472212"/>
      <w:bookmarkStart w:id="270" w:name="_Toc250381454"/>
      <w:bookmarkStart w:id="271" w:name="_Toc183568588"/>
      <w:bookmarkStart w:id="272" w:name="_Toc374966496"/>
      <w:bookmarkStart w:id="273" w:name="_Toc187672029"/>
      <w:bookmarkStart w:id="274" w:name="_Toc352357941"/>
      <w:r>
        <w:rPr>
          <w:rFonts w:hint="eastAsia" w:ascii="宋体" w:hAnsi="宋体" w:eastAsia="宋体" w:cs="宋体"/>
          <w:color w:val="auto"/>
          <w:highlight w:val="none"/>
        </w:rPr>
        <w:t>4. 磋商文件构成</w:t>
      </w:r>
      <w:bookmarkEnd w:id="263"/>
      <w:bookmarkEnd w:id="264"/>
      <w:bookmarkEnd w:id="265"/>
      <w:bookmarkEnd w:id="266"/>
      <w:bookmarkEnd w:id="267"/>
      <w:bookmarkEnd w:id="268"/>
      <w:bookmarkEnd w:id="269"/>
      <w:bookmarkEnd w:id="270"/>
      <w:bookmarkEnd w:id="271"/>
      <w:bookmarkEnd w:id="272"/>
      <w:bookmarkEnd w:id="273"/>
      <w:bookmarkEnd w:id="274"/>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4.1对于要求提供的货物或服务，在磋商文件中有说明。供应商没有按照磋商文件要求提交全部资料，或者响应文件没有对磋商文件在各方面都做出实质性响应所产生的后果由供应商承担。</w:t>
      </w:r>
    </w:p>
    <w:p>
      <w:pPr>
        <w:pStyle w:val="91"/>
        <w:spacing w:line="300" w:lineRule="auto"/>
        <w:rPr>
          <w:rFonts w:hint="eastAsia" w:ascii="宋体" w:hAnsi="宋体" w:eastAsia="宋体" w:cs="宋体"/>
          <w:color w:val="auto"/>
          <w:sz w:val="24"/>
          <w:highlight w:val="none"/>
        </w:rPr>
      </w:pPr>
    </w:p>
    <w:p>
      <w:pPr>
        <w:pStyle w:val="6"/>
        <w:snapToGrid w:val="0"/>
        <w:spacing w:before="0" w:after="0" w:line="300" w:lineRule="auto"/>
        <w:rPr>
          <w:rFonts w:hint="eastAsia" w:ascii="宋体" w:hAnsi="宋体" w:eastAsia="宋体" w:cs="宋体"/>
          <w:color w:val="auto"/>
          <w:highlight w:val="none"/>
        </w:rPr>
      </w:pPr>
      <w:bookmarkStart w:id="275" w:name="_Toc183568589"/>
      <w:bookmarkStart w:id="276" w:name="_Toc352357942"/>
      <w:bookmarkStart w:id="277" w:name="_Toc187472339"/>
      <w:bookmarkStart w:id="278" w:name="_Toc276043880"/>
      <w:bookmarkStart w:id="279" w:name="_Toc374966497"/>
      <w:bookmarkStart w:id="280" w:name="_Toc187472139"/>
      <w:bookmarkStart w:id="281" w:name="_Toc183524972"/>
      <w:bookmarkStart w:id="282" w:name="_Toc180073588"/>
      <w:bookmarkStart w:id="283" w:name="_Toc191744960"/>
      <w:bookmarkStart w:id="284" w:name="_Toc250381455"/>
      <w:bookmarkStart w:id="285" w:name="_Toc187472213"/>
      <w:bookmarkStart w:id="286" w:name="_Toc187672030"/>
      <w:r>
        <w:rPr>
          <w:rFonts w:hint="eastAsia" w:ascii="宋体" w:hAnsi="宋体" w:eastAsia="宋体" w:cs="宋体"/>
          <w:color w:val="auto"/>
          <w:highlight w:val="none"/>
        </w:rPr>
        <w:t>5. 对磋商文件的</w:t>
      </w:r>
      <w:bookmarkEnd w:id="275"/>
      <w:bookmarkEnd w:id="276"/>
      <w:bookmarkEnd w:id="277"/>
      <w:bookmarkEnd w:id="278"/>
      <w:bookmarkEnd w:id="279"/>
      <w:bookmarkEnd w:id="280"/>
      <w:bookmarkEnd w:id="281"/>
      <w:bookmarkEnd w:id="282"/>
      <w:bookmarkEnd w:id="283"/>
      <w:bookmarkEnd w:id="284"/>
      <w:bookmarkEnd w:id="285"/>
      <w:bookmarkEnd w:id="286"/>
      <w:r>
        <w:rPr>
          <w:rFonts w:hint="eastAsia" w:ascii="宋体" w:hAnsi="宋体" w:eastAsia="宋体" w:cs="宋体"/>
          <w:color w:val="auto"/>
          <w:highlight w:val="none"/>
        </w:rPr>
        <w:t>询问或者质疑</w:t>
      </w:r>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5.1供应商对磋商文件提出询问或者质疑的，必须遵守相关法规，且应提交纸质的质询或者质疑文件正本，应在法定质疑期内一次性提出针对同一采购程序环节的质疑，并按如下要求提供文件（详见第二章第三部分供应商须知第26条质疑函范本）：</w:t>
      </w:r>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（1）供应商名称、地址、邮编、联系人和联系电话；</w:t>
      </w:r>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（2）质疑项目的名称、编号；</w:t>
      </w:r>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（3）具体、明确的质疑事项和与质疑事项相关的请求；</w:t>
      </w:r>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（4）事实依据和证明材料；</w:t>
      </w:r>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（5）必要的法律依据；</w:t>
      </w:r>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（6）提出质疑的日期。</w:t>
      </w:r>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供应商为自然人的，应当由本人签字；供应商为法人或者其他组织的，应当由法定代表人、主要负责人或其授权代表签字或盖章并加盖公章；以联合体形式进行质疑的，由参加联合体的供应商共同提出。</w:t>
      </w:r>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5.2 采购代理机构或采购人将以收到质询或质疑正本的时间为接收时间。供应商需将质询或质疑内容以电子邮件形式发采购代理机构和采购人，并以电话通知，以便采购人和采购代理机构可及时答复。</w:t>
      </w:r>
    </w:p>
    <w:p>
      <w:pPr>
        <w:pStyle w:val="91"/>
        <w:spacing w:line="300" w:lineRule="auto"/>
        <w:rPr>
          <w:rFonts w:hint="eastAsia" w:ascii="宋体" w:hAnsi="宋体" w:eastAsia="宋体" w:cs="宋体"/>
          <w:color w:val="auto"/>
          <w:sz w:val="24"/>
          <w:highlight w:val="none"/>
        </w:rPr>
      </w:pPr>
    </w:p>
    <w:p>
      <w:pPr>
        <w:pStyle w:val="6"/>
        <w:snapToGrid w:val="0"/>
        <w:spacing w:before="0" w:after="0" w:line="300" w:lineRule="auto"/>
        <w:rPr>
          <w:rFonts w:hint="eastAsia" w:ascii="宋体" w:hAnsi="宋体" w:eastAsia="宋体" w:cs="宋体"/>
          <w:color w:val="auto"/>
          <w:highlight w:val="none"/>
        </w:rPr>
      </w:pPr>
      <w:bookmarkStart w:id="287" w:name="_Toc352357943"/>
      <w:bookmarkStart w:id="288" w:name="_Toc187472340"/>
      <w:bookmarkStart w:id="289" w:name="_Toc183524973"/>
      <w:bookmarkStart w:id="290" w:name="_Toc187672031"/>
      <w:bookmarkStart w:id="291" w:name="_Toc374966498"/>
      <w:bookmarkStart w:id="292" w:name="_Toc276043881"/>
      <w:bookmarkStart w:id="293" w:name="_Toc187472140"/>
      <w:bookmarkStart w:id="294" w:name="_Toc250381456"/>
      <w:bookmarkStart w:id="295" w:name="_Toc180073589"/>
      <w:bookmarkStart w:id="296" w:name="_Toc191744961"/>
      <w:bookmarkStart w:id="297" w:name="_Toc183568590"/>
      <w:bookmarkStart w:id="298" w:name="_Toc187472214"/>
      <w:r>
        <w:rPr>
          <w:rFonts w:hint="eastAsia" w:ascii="宋体" w:hAnsi="宋体" w:eastAsia="宋体" w:cs="宋体"/>
          <w:color w:val="auto"/>
          <w:highlight w:val="none"/>
        </w:rPr>
        <w:t>6. 磋商文件的修改</w:t>
      </w:r>
      <w:bookmarkEnd w:id="287"/>
      <w:bookmarkEnd w:id="288"/>
      <w:bookmarkEnd w:id="289"/>
      <w:bookmarkEnd w:id="290"/>
      <w:bookmarkEnd w:id="291"/>
      <w:bookmarkEnd w:id="292"/>
      <w:bookmarkEnd w:id="293"/>
      <w:bookmarkEnd w:id="294"/>
      <w:bookmarkEnd w:id="295"/>
      <w:bookmarkEnd w:id="296"/>
      <w:bookmarkEnd w:id="297"/>
      <w:bookmarkEnd w:id="298"/>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6.1提交首次响应文件截止之日前，采购人、采购代理机构或者磋商小组可以对已发出的磋商文件进行必要的澄清或者修改，澄清或者修改的内容将作为磋商文件的组成部分。澄清或者修改的内容可能影响响应文件编制的，采购人、采购代理机构或者磋商小组将在提交首次响应文件截止之日5个工作日前，以书面形式通知所有接收磋商文件的供应商，不足5个工作日的，将顺延提交首次响应文件截止之日。</w:t>
      </w:r>
    </w:p>
    <w:p>
      <w:pPr>
        <w:pStyle w:val="91"/>
        <w:spacing w:line="300" w:lineRule="auto"/>
        <w:rPr>
          <w:rFonts w:hint="eastAsia" w:ascii="宋体" w:hAnsi="宋体" w:eastAsia="宋体" w:cs="宋体"/>
          <w:color w:val="auto"/>
          <w:sz w:val="24"/>
          <w:highlight w:val="none"/>
        </w:rPr>
      </w:pPr>
    </w:p>
    <w:p>
      <w:pPr>
        <w:pStyle w:val="91"/>
        <w:spacing w:line="300" w:lineRule="auto"/>
        <w:rPr>
          <w:rFonts w:hint="eastAsia" w:ascii="宋体" w:hAnsi="宋体" w:eastAsia="宋体" w:cs="宋体"/>
          <w:color w:val="auto"/>
          <w:sz w:val="24"/>
          <w:highlight w:val="none"/>
        </w:rPr>
      </w:pPr>
    </w:p>
    <w:p>
      <w:pPr>
        <w:pStyle w:val="5"/>
        <w:snapToGrid w:val="0"/>
        <w:spacing w:before="0" w:after="0" w:line="300" w:lineRule="auto"/>
        <w:jc w:val="center"/>
        <w:rPr>
          <w:rFonts w:hint="eastAsia" w:ascii="宋体" w:hAnsi="宋体" w:eastAsia="宋体" w:cs="宋体"/>
          <w:color w:val="auto"/>
          <w:highlight w:val="none"/>
        </w:rPr>
      </w:pPr>
      <w:bookmarkStart w:id="299" w:name="_Toc13545"/>
      <w:bookmarkStart w:id="300" w:name="_Toc374966499"/>
      <w:bookmarkStart w:id="301" w:name="_Toc232434658"/>
      <w:bookmarkStart w:id="302" w:name="_Toc8632"/>
      <w:bookmarkStart w:id="303" w:name="_Toc9500"/>
      <w:bookmarkStart w:id="304" w:name="_Toc21726"/>
      <w:bookmarkStart w:id="305" w:name="_Toc352357944"/>
      <w:bookmarkStart w:id="306" w:name="_Toc20158"/>
      <w:bookmarkStart w:id="307" w:name="_Toc352358152"/>
      <w:bookmarkStart w:id="308" w:name="_Toc20322"/>
      <w:bookmarkStart w:id="309" w:name="_Toc1959"/>
      <w:bookmarkStart w:id="310" w:name="_Toc201072208"/>
      <w:bookmarkStart w:id="311" w:name="_Toc379571897"/>
      <w:bookmarkStart w:id="312" w:name="_Toc239138579"/>
      <w:bookmarkStart w:id="313" w:name="_Toc191744962"/>
      <w:bookmarkStart w:id="314" w:name="_Toc423"/>
      <w:bookmarkStart w:id="315" w:name="_Toc809"/>
      <w:bookmarkStart w:id="316" w:name="_Toc1800"/>
      <w:bookmarkStart w:id="317" w:name="_Toc201074579"/>
      <w:bookmarkStart w:id="318" w:name="_Toc276043882"/>
      <w:bookmarkStart w:id="319" w:name="_Toc23660"/>
      <w:bookmarkStart w:id="320" w:name="_Toc377394453"/>
      <w:bookmarkStart w:id="321" w:name="_Toc414456725"/>
      <w:bookmarkStart w:id="322" w:name="_Toc210192421"/>
      <w:bookmarkStart w:id="323" w:name="_Toc201073554"/>
      <w:bookmarkStart w:id="324" w:name="_Toc250381457"/>
      <w:bookmarkStart w:id="325" w:name="_Toc29044"/>
      <w:r>
        <w:rPr>
          <w:rFonts w:hint="eastAsia" w:ascii="宋体" w:hAnsi="宋体" w:eastAsia="宋体" w:cs="宋体"/>
          <w:color w:val="auto"/>
          <w:sz w:val="28"/>
          <w:highlight w:val="none"/>
        </w:rPr>
        <w:t>三、响应文件的编制</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pPr>
        <w:snapToGrid w:val="0"/>
        <w:spacing w:line="300" w:lineRule="auto"/>
        <w:rPr>
          <w:rFonts w:hint="eastAsia" w:ascii="宋体" w:hAnsi="宋体" w:eastAsia="宋体" w:cs="宋体"/>
          <w:color w:val="auto"/>
          <w:highlight w:val="none"/>
        </w:rPr>
      </w:pPr>
    </w:p>
    <w:p>
      <w:pPr>
        <w:pStyle w:val="6"/>
        <w:snapToGrid w:val="0"/>
        <w:spacing w:before="0" w:after="0" w:line="300" w:lineRule="auto"/>
        <w:rPr>
          <w:rFonts w:hint="eastAsia" w:ascii="宋体" w:hAnsi="宋体" w:eastAsia="宋体" w:cs="宋体"/>
          <w:color w:val="auto"/>
          <w:highlight w:val="none"/>
        </w:rPr>
      </w:pPr>
      <w:bookmarkStart w:id="326" w:name="_Toc187672033"/>
      <w:bookmarkStart w:id="327" w:name="_Toc180073591"/>
      <w:bookmarkStart w:id="328" w:name="_Toc374966500"/>
      <w:bookmarkStart w:id="329" w:name="_Toc352357945"/>
      <w:bookmarkStart w:id="330" w:name="_Toc276043883"/>
      <w:bookmarkStart w:id="331" w:name="_Toc187472142"/>
      <w:bookmarkStart w:id="332" w:name="_Toc250381458"/>
      <w:bookmarkStart w:id="333" w:name="_Toc187472342"/>
      <w:bookmarkStart w:id="334" w:name="_Toc191744963"/>
      <w:bookmarkStart w:id="335" w:name="_Toc183524975"/>
      <w:bookmarkStart w:id="336" w:name="_Toc183568592"/>
      <w:bookmarkStart w:id="337" w:name="_Toc187472216"/>
      <w:r>
        <w:rPr>
          <w:rFonts w:hint="eastAsia" w:ascii="宋体" w:hAnsi="宋体" w:eastAsia="宋体" w:cs="宋体"/>
          <w:color w:val="auto"/>
          <w:highlight w:val="none"/>
        </w:rPr>
        <w:t>7. 适用法规</w:t>
      </w:r>
      <w:bookmarkEnd w:id="326"/>
      <w:bookmarkEnd w:id="327"/>
      <w:bookmarkEnd w:id="328"/>
      <w:bookmarkEnd w:id="329"/>
      <w:bookmarkEnd w:id="330"/>
      <w:bookmarkEnd w:id="331"/>
      <w:bookmarkEnd w:id="332"/>
      <w:bookmarkEnd w:id="333"/>
      <w:bookmarkEnd w:id="334"/>
      <w:bookmarkEnd w:id="335"/>
      <w:bookmarkEnd w:id="336"/>
      <w:bookmarkEnd w:id="337"/>
    </w:p>
    <w:p>
      <w:pPr>
        <w:pBdr>
          <w:top w:val="none" w:color="000000" w:sz="0" w:space="0"/>
          <w:left w:val="none" w:color="000000" w:sz="0" w:space="0"/>
          <w:bottom w:val="none" w:color="000000" w:sz="0" w:space="0"/>
          <w:right w:val="none" w:color="000000" w:sz="0" w:space="0"/>
        </w:pBdr>
        <w:snapToGrid w:val="0"/>
        <w:spacing w:line="300" w:lineRule="auto"/>
        <w:jc w:val="left"/>
        <w:rPr>
          <w:rFonts w:hint="eastAsia" w:ascii="宋体" w:hAnsi="宋体" w:eastAsia="宋体" w:cs="宋体"/>
          <w:color w:val="auto"/>
          <w:highlight w:val="none"/>
        </w:rPr>
      </w:pPr>
      <w:r>
        <w:rPr>
          <w:rFonts w:hint="eastAsia" w:ascii="宋体" w:hAnsi="宋体" w:eastAsia="宋体" w:cs="宋体"/>
          <w:color w:val="auto"/>
          <w:sz w:val="24"/>
          <w:highlight w:val="none"/>
        </w:rPr>
        <w:t>7.1本次采购遵守《中华人民共和国政府采购法》、财政部颁布的《政府采购竞争性磋商采购方式管理暂行办法》等相关规定。</w:t>
      </w:r>
    </w:p>
    <w:p>
      <w:pPr>
        <w:pStyle w:val="91"/>
        <w:spacing w:line="300" w:lineRule="auto"/>
        <w:rPr>
          <w:rFonts w:hint="eastAsia" w:ascii="宋体" w:hAnsi="宋体" w:eastAsia="宋体" w:cs="宋体"/>
          <w:color w:val="auto"/>
          <w:sz w:val="24"/>
          <w:highlight w:val="none"/>
        </w:rPr>
      </w:pPr>
    </w:p>
    <w:p>
      <w:pPr>
        <w:pStyle w:val="6"/>
        <w:snapToGrid w:val="0"/>
        <w:spacing w:before="0" w:after="0" w:line="300" w:lineRule="auto"/>
        <w:rPr>
          <w:rFonts w:hint="eastAsia" w:ascii="宋体" w:hAnsi="宋体" w:eastAsia="宋体" w:cs="宋体"/>
          <w:color w:val="auto"/>
          <w:highlight w:val="none"/>
        </w:rPr>
      </w:pPr>
      <w:bookmarkStart w:id="338" w:name="_Toc276043884"/>
      <w:bookmarkStart w:id="339" w:name="_Toc183568593"/>
      <w:bookmarkStart w:id="340" w:name="_Toc187472143"/>
      <w:bookmarkStart w:id="341" w:name="_Toc187472217"/>
      <w:bookmarkStart w:id="342" w:name="_Toc191744964"/>
      <w:bookmarkStart w:id="343" w:name="_Toc180073592"/>
      <w:bookmarkStart w:id="344" w:name="_Toc374966501"/>
      <w:bookmarkStart w:id="345" w:name="_Toc187472343"/>
      <w:bookmarkStart w:id="346" w:name="_Toc183524976"/>
      <w:bookmarkStart w:id="347" w:name="_Toc352357946"/>
      <w:bookmarkStart w:id="348" w:name="_Toc187672034"/>
      <w:bookmarkStart w:id="349" w:name="_Toc250381459"/>
      <w:r>
        <w:rPr>
          <w:rFonts w:hint="eastAsia" w:ascii="宋体" w:hAnsi="宋体" w:eastAsia="宋体" w:cs="宋体"/>
          <w:color w:val="auto"/>
          <w:highlight w:val="none"/>
        </w:rPr>
        <w:t>8. 响应文件构成</w:t>
      </w:r>
      <w:bookmarkEnd w:id="338"/>
      <w:bookmarkEnd w:id="339"/>
      <w:bookmarkEnd w:id="340"/>
      <w:bookmarkEnd w:id="341"/>
      <w:bookmarkEnd w:id="342"/>
      <w:bookmarkEnd w:id="343"/>
      <w:bookmarkEnd w:id="344"/>
      <w:bookmarkEnd w:id="345"/>
      <w:bookmarkEnd w:id="346"/>
      <w:bookmarkEnd w:id="347"/>
      <w:bookmarkEnd w:id="348"/>
      <w:bookmarkEnd w:id="349"/>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8.1供应商编写的响应文件应包括，但不仅限于</w:t>
      </w:r>
      <w:r>
        <w:rPr>
          <w:rFonts w:hint="eastAsia" w:ascii="宋体" w:hAnsi="宋体" w:eastAsia="宋体" w:cs="宋体"/>
          <w:b/>
          <w:color w:val="auto"/>
          <w:sz w:val="24"/>
          <w:highlight w:val="none"/>
        </w:rPr>
        <w:t>供应商须知资料表第8.1款</w:t>
      </w:r>
      <w:r>
        <w:rPr>
          <w:rFonts w:hint="eastAsia" w:ascii="宋体" w:hAnsi="宋体" w:eastAsia="宋体" w:cs="宋体"/>
          <w:color w:val="auto"/>
          <w:sz w:val="24"/>
          <w:highlight w:val="none"/>
        </w:rPr>
        <w:t>中列明的内容。</w:t>
      </w:r>
    </w:p>
    <w:p>
      <w:pPr>
        <w:pStyle w:val="91"/>
        <w:spacing w:line="300" w:lineRule="auto"/>
        <w:rPr>
          <w:rFonts w:hint="eastAsia" w:ascii="宋体" w:hAnsi="宋体" w:eastAsia="宋体" w:cs="宋体"/>
          <w:color w:val="auto"/>
          <w:sz w:val="24"/>
          <w:highlight w:val="none"/>
        </w:rPr>
      </w:pPr>
    </w:p>
    <w:p>
      <w:pPr>
        <w:pStyle w:val="6"/>
        <w:snapToGrid w:val="0"/>
        <w:spacing w:before="0" w:after="0" w:line="300" w:lineRule="auto"/>
        <w:rPr>
          <w:rFonts w:hint="eastAsia" w:ascii="宋体" w:hAnsi="宋体" w:eastAsia="宋体" w:cs="宋体"/>
          <w:color w:val="auto"/>
          <w:highlight w:val="none"/>
        </w:rPr>
      </w:pPr>
      <w:bookmarkStart w:id="350" w:name="_Toc187472218"/>
      <w:bookmarkStart w:id="351" w:name="_Toc183524977"/>
      <w:bookmarkStart w:id="352" w:name="_Toc352357947"/>
      <w:bookmarkStart w:id="353" w:name="_Toc183568594"/>
      <w:bookmarkStart w:id="354" w:name="_Toc180073593"/>
      <w:bookmarkStart w:id="355" w:name="_Toc276043885"/>
      <w:bookmarkStart w:id="356" w:name="_Toc191744965"/>
      <w:bookmarkStart w:id="357" w:name="_Toc250381460"/>
      <w:bookmarkStart w:id="358" w:name="_Toc187672035"/>
      <w:bookmarkStart w:id="359" w:name="_Toc187472344"/>
      <w:bookmarkStart w:id="360" w:name="_Toc374966502"/>
      <w:bookmarkStart w:id="361" w:name="_Toc187472144"/>
      <w:r>
        <w:rPr>
          <w:rFonts w:hint="eastAsia" w:ascii="宋体" w:hAnsi="宋体" w:eastAsia="宋体" w:cs="宋体"/>
          <w:color w:val="auto"/>
          <w:highlight w:val="none"/>
        </w:rPr>
        <w:t>9. 响应报价</w:t>
      </w:r>
      <w:bookmarkEnd w:id="350"/>
      <w:bookmarkEnd w:id="351"/>
      <w:bookmarkEnd w:id="352"/>
      <w:bookmarkEnd w:id="353"/>
      <w:bookmarkEnd w:id="354"/>
      <w:bookmarkEnd w:id="355"/>
      <w:bookmarkEnd w:id="356"/>
      <w:bookmarkEnd w:id="357"/>
      <w:bookmarkEnd w:id="358"/>
      <w:bookmarkEnd w:id="359"/>
      <w:bookmarkEnd w:id="360"/>
      <w:bookmarkEnd w:id="361"/>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9.1报价要求见</w:t>
      </w:r>
      <w:r>
        <w:rPr>
          <w:rFonts w:hint="eastAsia" w:ascii="宋体" w:hAnsi="宋体" w:eastAsia="宋体" w:cs="宋体"/>
          <w:b/>
          <w:color w:val="auto"/>
          <w:sz w:val="24"/>
          <w:highlight w:val="none"/>
        </w:rPr>
        <w:t>供应商须知资料表第9.1款。</w:t>
      </w:r>
      <w:r>
        <w:rPr>
          <w:rFonts w:hint="eastAsia" w:ascii="宋体" w:hAnsi="宋体" w:eastAsia="宋体" w:cs="宋体"/>
          <w:color w:val="auto"/>
          <w:sz w:val="24"/>
          <w:highlight w:val="none"/>
        </w:rPr>
        <w:t>总报价中应包括磋商文件要求的所有内容。</w:t>
      </w:r>
    </w:p>
    <w:p>
      <w:pPr>
        <w:pStyle w:val="91"/>
        <w:spacing w:line="300" w:lineRule="auto"/>
        <w:rPr>
          <w:rFonts w:hint="eastAsia" w:ascii="宋体" w:hAnsi="宋体" w:eastAsia="宋体" w:cs="宋体"/>
          <w:color w:val="auto"/>
          <w:sz w:val="24"/>
          <w:highlight w:val="none"/>
        </w:rPr>
      </w:pPr>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9.2主要服务地点见</w:t>
      </w:r>
      <w:r>
        <w:rPr>
          <w:rFonts w:hint="eastAsia" w:ascii="宋体" w:hAnsi="宋体" w:eastAsia="宋体" w:cs="宋体"/>
          <w:b/>
          <w:color w:val="auto"/>
          <w:sz w:val="24"/>
          <w:highlight w:val="none"/>
        </w:rPr>
        <w:t>供应商须知资料表9.2款</w:t>
      </w:r>
      <w:r>
        <w:rPr>
          <w:rFonts w:hint="eastAsia" w:ascii="宋体" w:hAnsi="宋体" w:eastAsia="宋体" w:cs="宋体"/>
          <w:color w:val="auto"/>
          <w:sz w:val="24"/>
          <w:highlight w:val="none"/>
        </w:rPr>
        <w:t>中规定的地点。</w:t>
      </w:r>
    </w:p>
    <w:p>
      <w:pPr>
        <w:pStyle w:val="91"/>
        <w:spacing w:line="300" w:lineRule="auto"/>
        <w:rPr>
          <w:rFonts w:hint="eastAsia" w:ascii="宋体" w:hAnsi="宋体" w:eastAsia="宋体" w:cs="宋体"/>
          <w:color w:val="auto"/>
          <w:sz w:val="24"/>
          <w:highlight w:val="none"/>
        </w:rPr>
      </w:pPr>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9.3除非采购人另有规定，供应商的最后报价是固定不变的，成交单位不得以任何理由予以变更。</w:t>
      </w:r>
    </w:p>
    <w:p>
      <w:pPr>
        <w:pStyle w:val="91"/>
        <w:spacing w:line="300" w:lineRule="auto"/>
        <w:rPr>
          <w:rFonts w:hint="eastAsia" w:ascii="宋体" w:hAnsi="宋体" w:eastAsia="宋体" w:cs="宋体"/>
          <w:color w:val="auto"/>
          <w:sz w:val="24"/>
          <w:highlight w:val="none"/>
        </w:rPr>
      </w:pPr>
    </w:p>
    <w:p>
      <w:pPr>
        <w:pStyle w:val="6"/>
        <w:snapToGrid w:val="0"/>
        <w:spacing w:before="0" w:after="0" w:line="300" w:lineRule="auto"/>
        <w:rPr>
          <w:rFonts w:hint="eastAsia" w:ascii="宋体" w:hAnsi="宋体" w:eastAsia="宋体" w:cs="宋体"/>
          <w:color w:val="auto"/>
          <w:highlight w:val="none"/>
        </w:rPr>
      </w:pPr>
      <w:bookmarkStart w:id="362" w:name="_Toc276043886"/>
      <w:bookmarkStart w:id="363" w:name="_Toc191744966"/>
      <w:bookmarkStart w:id="364" w:name="_Toc183568595"/>
      <w:bookmarkStart w:id="365" w:name="_Toc187672036"/>
      <w:bookmarkStart w:id="366" w:name="_Toc183524978"/>
      <w:bookmarkStart w:id="367" w:name="_Toc187472219"/>
      <w:bookmarkStart w:id="368" w:name="_Toc352357948"/>
      <w:bookmarkStart w:id="369" w:name="_Toc180073594"/>
      <w:bookmarkStart w:id="370" w:name="_Toc187472345"/>
      <w:bookmarkStart w:id="371" w:name="_Toc187472145"/>
      <w:bookmarkStart w:id="372" w:name="_Toc250381461"/>
      <w:bookmarkStart w:id="373" w:name="_Toc374966503"/>
      <w:r>
        <w:rPr>
          <w:rFonts w:hint="eastAsia" w:ascii="宋体" w:hAnsi="宋体" w:eastAsia="宋体" w:cs="宋体"/>
          <w:color w:val="auto"/>
          <w:highlight w:val="none"/>
        </w:rPr>
        <w:t>10. 证明合格性的资格文件</w:t>
      </w:r>
      <w:bookmarkEnd w:id="362"/>
      <w:bookmarkEnd w:id="363"/>
      <w:bookmarkEnd w:id="364"/>
      <w:bookmarkEnd w:id="365"/>
      <w:bookmarkEnd w:id="366"/>
      <w:bookmarkEnd w:id="367"/>
      <w:bookmarkEnd w:id="368"/>
      <w:bookmarkEnd w:id="369"/>
      <w:bookmarkEnd w:id="370"/>
      <w:bookmarkEnd w:id="371"/>
      <w:bookmarkEnd w:id="372"/>
      <w:bookmarkEnd w:id="373"/>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10.1 供应商应按磋商文件中的要求提交证明其合格性的文件，并作为其响应文件的一部分。供应商需提交的资格证明文件见</w:t>
      </w:r>
      <w:r>
        <w:rPr>
          <w:rFonts w:hint="eastAsia" w:ascii="宋体" w:hAnsi="宋体" w:eastAsia="宋体" w:cs="宋体"/>
          <w:b/>
          <w:color w:val="auto"/>
          <w:sz w:val="24"/>
          <w:highlight w:val="none"/>
        </w:rPr>
        <w:t>供应商须知资料表第10.1款</w:t>
      </w:r>
      <w:r>
        <w:rPr>
          <w:rFonts w:hint="eastAsia" w:ascii="宋体" w:hAnsi="宋体" w:eastAsia="宋体" w:cs="宋体"/>
          <w:color w:val="auto"/>
          <w:sz w:val="24"/>
          <w:highlight w:val="none"/>
        </w:rPr>
        <w:t>中的要求。</w:t>
      </w:r>
    </w:p>
    <w:p>
      <w:pPr>
        <w:pStyle w:val="91"/>
        <w:spacing w:line="300" w:lineRule="auto"/>
        <w:rPr>
          <w:rFonts w:hint="eastAsia" w:ascii="宋体" w:hAnsi="宋体" w:eastAsia="宋体" w:cs="宋体"/>
          <w:color w:val="auto"/>
          <w:sz w:val="24"/>
          <w:highlight w:val="none"/>
        </w:rPr>
      </w:pPr>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10.2 供应商需满足</w:t>
      </w:r>
      <w:r>
        <w:rPr>
          <w:rFonts w:hint="eastAsia" w:ascii="宋体" w:hAnsi="宋体" w:eastAsia="宋体" w:cs="宋体"/>
          <w:b/>
          <w:color w:val="auto"/>
          <w:sz w:val="24"/>
          <w:highlight w:val="none"/>
        </w:rPr>
        <w:t>供应商须知资料表第10.2款</w:t>
      </w:r>
      <w:r>
        <w:rPr>
          <w:rFonts w:hint="eastAsia" w:ascii="宋体" w:hAnsi="宋体" w:eastAsia="宋体" w:cs="宋体"/>
          <w:color w:val="auto"/>
          <w:sz w:val="24"/>
          <w:highlight w:val="none"/>
        </w:rPr>
        <w:t>中的要求。</w:t>
      </w:r>
    </w:p>
    <w:p>
      <w:pPr>
        <w:pStyle w:val="91"/>
        <w:spacing w:line="300" w:lineRule="auto"/>
        <w:rPr>
          <w:rFonts w:hint="eastAsia" w:ascii="宋体" w:hAnsi="宋体" w:eastAsia="宋体" w:cs="宋体"/>
          <w:color w:val="auto"/>
          <w:sz w:val="24"/>
          <w:highlight w:val="none"/>
        </w:rPr>
      </w:pPr>
    </w:p>
    <w:p>
      <w:pPr>
        <w:pStyle w:val="6"/>
        <w:snapToGrid w:val="0"/>
        <w:spacing w:before="0" w:after="0" w:line="300" w:lineRule="auto"/>
        <w:rPr>
          <w:rFonts w:hint="eastAsia" w:ascii="宋体" w:hAnsi="宋体" w:eastAsia="宋体" w:cs="宋体"/>
          <w:color w:val="auto"/>
          <w:highlight w:val="none"/>
        </w:rPr>
      </w:pPr>
      <w:bookmarkStart w:id="374" w:name="_Toc352357949"/>
      <w:bookmarkStart w:id="375" w:name="_Toc250381462"/>
      <w:bookmarkStart w:id="376" w:name="_Toc187472346"/>
      <w:bookmarkStart w:id="377" w:name="_Toc183568596"/>
      <w:bookmarkStart w:id="378" w:name="_Toc276043887"/>
      <w:bookmarkStart w:id="379" w:name="_Toc374966504"/>
      <w:bookmarkStart w:id="380" w:name="_Toc191744967"/>
      <w:bookmarkStart w:id="381" w:name="_Toc187672037"/>
      <w:bookmarkStart w:id="382" w:name="_Toc180073595"/>
      <w:bookmarkStart w:id="383" w:name="_Toc187472146"/>
      <w:bookmarkStart w:id="384" w:name="_Toc183524979"/>
      <w:bookmarkStart w:id="385" w:name="_Toc187472220"/>
      <w:r>
        <w:rPr>
          <w:rFonts w:hint="eastAsia" w:ascii="宋体" w:hAnsi="宋体" w:eastAsia="宋体" w:cs="宋体"/>
          <w:color w:val="auto"/>
          <w:highlight w:val="none"/>
        </w:rPr>
        <w:t>11. 证明供应商能力和技术/服务符合磋商文件规定的文件</w:t>
      </w:r>
      <w:bookmarkEnd w:id="374"/>
      <w:bookmarkEnd w:id="375"/>
      <w:bookmarkEnd w:id="376"/>
      <w:bookmarkEnd w:id="377"/>
      <w:bookmarkEnd w:id="378"/>
      <w:bookmarkEnd w:id="379"/>
      <w:bookmarkEnd w:id="380"/>
      <w:bookmarkEnd w:id="381"/>
      <w:bookmarkEnd w:id="382"/>
      <w:bookmarkEnd w:id="383"/>
      <w:bookmarkEnd w:id="384"/>
      <w:bookmarkEnd w:id="385"/>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 xml:space="preserve">11.1供应商应按照磋商文件的要求，提供证明其业绩、能力、技术/服务等满足磋商文件要求的文件。 </w:t>
      </w:r>
    </w:p>
    <w:p>
      <w:pPr>
        <w:pStyle w:val="91"/>
        <w:spacing w:line="300" w:lineRule="auto"/>
        <w:rPr>
          <w:rFonts w:hint="eastAsia" w:ascii="宋体" w:hAnsi="宋体" w:eastAsia="宋体" w:cs="宋体"/>
          <w:color w:val="auto"/>
          <w:sz w:val="24"/>
          <w:highlight w:val="none"/>
        </w:rPr>
      </w:pPr>
    </w:p>
    <w:p>
      <w:pPr>
        <w:pStyle w:val="6"/>
        <w:snapToGrid w:val="0"/>
        <w:spacing w:before="0" w:after="0" w:line="300" w:lineRule="auto"/>
        <w:rPr>
          <w:rFonts w:hint="eastAsia" w:ascii="宋体" w:hAnsi="宋体" w:eastAsia="宋体" w:cs="宋体"/>
          <w:color w:val="auto"/>
          <w:highlight w:val="none"/>
        </w:rPr>
      </w:pPr>
      <w:bookmarkStart w:id="386" w:name="_Toc183568597"/>
      <w:bookmarkStart w:id="387" w:name="_Toc187472221"/>
      <w:bookmarkStart w:id="388" w:name="_Toc183524980"/>
      <w:bookmarkStart w:id="389" w:name="_Toc191744968"/>
      <w:bookmarkStart w:id="390" w:name="_Toc187672038"/>
      <w:bookmarkStart w:id="391" w:name="_Toc187472147"/>
      <w:bookmarkStart w:id="392" w:name="_Toc187472347"/>
      <w:bookmarkStart w:id="393" w:name="_Toc276043888"/>
      <w:bookmarkStart w:id="394" w:name="_Toc250381463"/>
      <w:bookmarkStart w:id="395" w:name="_Toc352357950"/>
      <w:bookmarkStart w:id="396" w:name="_Toc180073596"/>
      <w:bookmarkStart w:id="397" w:name="_Toc374966505"/>
      <w:r>
        <w:rPr>
          <w:rFonts w:hint="eastAsia" w:ascii="宋体" w:hAnsi="宋体" w:eastAsia="宋体" w:cs="宋体"/>
          <w:color w:val="auto"/>
          <w:highlight w:val="none"/>
        </w:rPr>
        <w:t xml:space="preserve">12. </w:t>
      </w:r>
      <w:bookmarkEnd w:id="386"/>
      <w:bookmarkEnd w:id="387"/>
      <w:bookmarkEnd w:id="388"/>
      <w:bookmarkEnd w:id="389"/>
      <w:bookmarkEnd w:id="390"/>
      <w:bookmarkEnd w:id="391"/>
      <w:bookmarkEnd w:id="392"/>
      <w:bookmarkEnd w:id="393"/>
      <w:bookmarkEnd w:id="394"/>
      <w:bookmarkEnd w:id="395"/>
      <w:bookmarkEnd w:id="396"/>
      <w:r>
        <w:rPr>
          <w:rFonts w:hint="eastAsia" w:ascii="宋体" w:hAnsi="宋体" w:eastAsia="宋体" w:cs="宋体"/>
          <w:color w:val="auto"/>
          <w:highlight w:val="none"/>
        </w:rPr>
        <w:t>响应文件有效期和保证金</w:t>
      </w:r>
      <w:bookmarkEnd w:id="397"/>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12.1 响应文件有效期应不短于</w:t>
      </w:r>
      <w:r>
        <w:rPr>
          <w:rFonts w:hint="eastAsia" w:ascii="宋体" w:hAnsi="宋体" w:eastAsia="宋体" w:cs="宋体"/>
          <w:b/>
          <w:color w:val="auto"/>
          <w:sz w:val="24"/>
          <w:highlight w:val="none"/>
        </w:rPr>
        <w:t>供应商须知资料表中第12.1款</w:t>
      </w:r>
      <w:r>
        <w:rPr>
          <w:rFonts w:hint="eastAsia" w:ascii="宋体" w:hAnsi="宋体" w:eastAsia="宋体" w:cs="宋体"/>
          <w:color w:val="auto"/>
          <w:sz w:val="24"/>
          <w:highlight w:val="none"/>
        </w:rPr>
        <w:t>中规定的期限。在特殊情况下，在响应文件有效期截止之前，采购代理机构可要求供应商延长响应文件有效期。这种要求与答复均应以书面形式提交。供应商可拒绝采购代理机构的这种要求，其保证金将不会被没收。接受响应文件有效期延长的供应商将不会被要求和允许修改其响应文件，而只会要求其相应地延长其保证金的有效期。</w:t>
      </w:r>
    </w:p>
    <w:p>
      <w:pPr>
        <w:pStyle w:val="91"/>
        <w:spacing w:line="300" w:lineRule="auto"/>
        <w:rPr>
          <w:rFonts w:hint="eastAsia" w:ascii="宋体" w:hAnsi="宋体" w:eastAsia="宋体" w:cs="宋体"/>
          <w:color w:val="auto"/>
          <w:sz w:val="24"/>
          <w:highlight w:val="none"/>
        </w:rPr>
      </w:pPr>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12.2保证金的有效期应与响应文件的有效期一致,金额不应少于</w:t>
      </w:r>
      <w:r>
        <w:rPr>
          <w:rFonts w:hint="eastAsia" w:ascii="宋体" w:hAnsi="宋体" w:eastAsia="宋体" w:cs="宋体"/>
          <w:b/>
          <w:color w:val="auto"/>
          <w:sz w:val="24"/>
          <w:highlight w:val="none"/>
        </w:rPr>
        <w:t>供应商须知资料表中第12.2款</w:t>
      </w:r>
      <w:r>
        <w:rPr>
          <w:rFonts w:hint="eastAsia" w:ascii="宋体" w:hAnsi="宋体" w:eastAsia="宋体" w:cs="宋体"/>
          <w:color w:val="auto"/>
          <w:sz w:val="24"/>
          <w:highlight w:val="none"/>
        </w:rPr>
        <w:t>中的规定。</w:t>
      </w:r>
    </w:p>
    <w:p>
      <w:pPr>
        <w:pStyle w:val="91"/>
        <w:spacing w:line="300" w:lineRule="auto"/>
        <w:rPr>
          <w:rFonts w:hint="eastAsia" w:ascii="宋体" w:hAnsi="宋体" w:eastAsia="宋体" w:cs="宋体"/>
          <w:color w:val="auto"/>
          <w:sz w:val="24"/>
          <w:highlight w:val="none"/>
        </w:rPr>
      </w:pPr>
    </w:p>
    <w:p>
      <w:pPr>
        <w:snapToGrid w:val="0"/>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12.3保证金形式见</w:t>
      </w:r>
      <w:r>
        <w:rPr>
          <w:rFonts w:hint="eastAsia" w:ascii="宋体" w:hAnsi="宋体" w:eastAsia="宋体" w:cs="宋体"/>
          <w:b/>
          <w:color w:val="auto"/>
          <w:sz w:val="24"/>
          <w:highlight w:val="none"/>
        </w:rPr>
        <w:t>供应商须知资料表中第12.3款</w:t>
      </w:r>
      <w:r>
        <w:rPr>
          <w:rFonts w:hint="eastAsia" w:ascii="宋体" w:hAnsi="宋体" w:eastAsia="宋体" w:cs="宋体"/>
          <w:color w:val="auto"/>
          <w:sz w:val="24"/>
          <w:highlight w:val="none"/>
        </w:rPr>
        <w:t>规定</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保证金应在递交响应文件时或之前单独提交给采购代理机构。</w:t>
      </w:r>
    </w:p>
    <w:p>
      <w:pPr>
        <w:pStyle w:val="91"/>
        <w:spacing w:line="300" w:lineRule="auto"/>
        <w:rPr>
          <w:rFonts w:hint="eastAsia" w:ascii="宋体" w:hAnsi="宋体" w:eastAsia="宋体" w:cs="宋体"/>
          <w:color w:val="auto"/>
          <w:sz w:val="24"/>
          <w:highlight w:val="none"/>
        </w:rPr>
      </w:pPr>
    </w:p>
    <w:p>
      <w:pPr>
        <w:widowControl/>
        <w:snapToGrid w:val="0"/>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12.4</w:t>
      </w:r>
      <w:r>
        <w:rPr>
          <w:rFonts w:hint="eastAsia" w:ascii="宋体" w:hAnsi="宋体" w:eastAsia="宋体" w:cs="宋体"/>
          <w:color w:val="auto"/>
          <w:kern w:val="0"/>
          <w:sz w:val="24"/>
          <w:highlight w:val="none"/>
        </w:rPr>
        <w:t>采购代理机构将在采购活动结束后及时退还供应商的保证金（</w:t>
      </w:r>
      <w:r>
        <w:rPr>
          <w:rFonts w:hint="eastAsia" w:ascii="宋体" w:hAnsi="宋体" w:eastAsia="宋体" w:cs="宋体"/>
          <w:color w:val="auto"/>
          <w:sz w:val="24"/>
          <w:highlight w:val="none"/>
        </w:rPr>
        <w:t>不含利息</w:t>
      </w:r>
      <w:r>
        <w:rPr>
          <w:rFonts w:hint="eastAsia" w:ascii="宋体" w:hAnsi="宋体" w:eastAsia="宋体" w:cs="宋体"/>
          <w:color w:val="auto"/>
          <w:kern w:val="0"/>
          <w:sz w:val="24"/>
          <w:highlight w:val="none"/>
        </w:rPr>
        <w:t>），但因供应商自身原因导致无法及时退还的除外。未成交供应商的保证金应当在成交通知书发出后5个工作日内退还，成交供应商的保证金应当在采购合同签订后5个工作日内退还。</w:t>
      </w:r>
    </w:p>
    <w:p>
      <w:pPr>
        <w:widowControl/>
        <w:snapToGrid w:val="0"/>
        <w:spacing w:line="300" w:lineRule="auto"/>
        <w:rPr>
          <w:rFonts w:hint="eastAsia" w:ascii="宋体" w:hAnsi="宋体" w:eastAsia="宋体" w:cs="宋体"/>
          <w:color w:val="auto"/>
          <w:highlight w:val="none"/>
        </w:rPr>
      </w:pPr>
      <w:r>
        <w:rPr>
          <w:rFonts w:hint="eastAsia" w:ascii="宋体" w:hAnsi="宋体" w:eastAsia="宋体" w:cs="宋体"/>
          <w:color w:val="auto"/>
          <w:kern w:val="0"/>
          <w:sz w:val="24"/>
          <w:highlight w:val="none"/>
        </w:rPr>
        <w:t>　　有下列情形之一的，磋商保证金不予退还：</w:t>
      </w:r>
    </w:p>
    <w:p>
      <w:pPr>
        <w:widowControl/>
        <w:snapToGrid w:val="0"/>
        <w:spacing w:line="300" w:lineRule="auto"/>
        <w:rPr>
          <w:rFonts w:hint="eastAsia" w:ascii="宋体" w:hAnsi="宋体" w:eastAsia="宋体" w:cs="宋体"/>
          <w:color w:val="auto"/>
          <w:highlight w:val="none"/>
        </w:rPr>
      </w:pPr>
      <w:r>
        <w:rPr>
          <w:rFonts w:hint="eastAsia" w:ascii="宋体" w:hAnsi="宋体" w:eastAsia="宋体" w:cs="宋体"/>
          <w:color w:val="auto"/>
          <w:kern w:val="0"/>
          <w:sz w:val="24"/>
          <w:highlight w:val="none"/>
        </w:rPr>
        <w:t>　　（1）供应商在提交响应文件截止时间后撤回响应文件的（另有规定的除外）；</w:t>
      </w:r>
    </w:p>
    <w:p>
      <w:pPr>
        <w:widowControl/>
        <w:snapToGrid w:val="0"/>
        <w:spacing w:line="300" w:lineRule="auto"/>
        <w:rPr>
          <w:rFonts w:hint="eastAsia" w:ascii="宋体" w:hAnsi="宋体" w:eastAsia="宋体" w:cs="宋体"/>
          <w:color w:val="auto"/>
          <w:highlight w:val="none"/>
        </w:rPr>
      </w:pPr>
      <w:r>
        <w:rPr>
          <w:rFonts w:hint="eastAsia" w:ascii="宋体" w:hAnsi="宋体" w:eastAsia="宋体" w:cs="宋体"/>
          <w:color w:val="auto"/>
          <w:kern w:val="0"/>
          <w:sz w:val="24"/>
          <w:highlight w:val="none"/>
        </w:rPr>
        <w:t>　　（2）供应商在响应文件中提供虚假材料的；</w:t>
      </w:r>
    </w:p>
    <w:p>
      <w:pPr>
        <w:widowControl/>
        <w:snapToGrid w:val="0"/>
        <w:spacing w:line="300" w:lineRule="auto"/>
        <w:ind w:left="1200" w:hanging="1200"/>
        <w:rPr>
          <w:rFonts w:hint="eastAsia" w:ascii="宋体" w:hAnsi="宋体" w:eastAsia="宋体" w:cs="宋体"/>
          <w:color w:val="auto"/>
          <w:highlight w:val="none"/>
        </w:rPr>
      </w:pPr>
      <w:r>
        <w:rPr>
          <w:rFonts w:hint="eastAsia" w:ascii="宋体" w:hAnsi="宋体" w:eastAsia="宋体" w:cs="宋体"/>
          <w:color w:val="auto"/>
          <w:kern w:val="0"/>
          <w:sz w:val="24"/>
          <w:highlight w:val="none"/>
        </w:rPr>
        <w:t>　　（3）除因不可抗力或磋商文件认可的情形以外，成交供应商不与采购人签订合同的；</w:t>
      </w:r>
    </w:p>
    <w:p>
      <w:pPr>
        <w:widowControl/>
        <w:snapToGrid w:val="0"/>
        <w:spacing w:line="300" w:lineRule="auto"/>
        <w:rPr>
          <w:rFonts w:hint="eastAsia" w:ascii="宋体" w:hAnsi="宋体" w:eastAsia="宋体" w:cs="宋体"/>
          <w:color w:val="auto"/>
          <w:highlight w:val="none"/>
        </w:rPr>
      </w:pPr>
      <w:r>
        <w:rPr>
          <w:rFonts w:hint="eastAsia" w:ascii="宋体" w:hAnsi="宋体" w:eastAsia="宋体" w:cs="宋体"/>
          <w:color w:val="auto"/>
          <w:kern w:val="0"/>
          <w:sz w:val="24"/>
          <w:highlight w:val="none"/>
        </w:rPr>
        <w:t>　　（4）供应商与采购人、其他供应商或者采购代理机构恶意串通的；</w:t>
      </w:r>
    </w:p>
    <w:p>
      <w:pPr>
        <w:widowControl/>
        <w:snapToGrid w:val="0"/>
        <w:spacing w:line="300" w:lineRule="auto"/>
        <w:rPr>
          <w:rFonts w:hint="eastAsia" w:ascii="宋体" w:hAnsi="宋体" w:eastAsia="宋体" w:cs="宋体"/>
          <w:color w:val="auto"/>
          <w:highlight w:val="none"/>
        </w:rPr>
      </w:pPr>
      <w:r>
        <w:rPr>
          <w:rFonts w:hint="eastAsia" w:ascii="宋体" w:hAnsi="宋体" w:eastAsia="宋体" w:cs="宋体"/>
          <w:color w:val="auto"/>
          <w:kern w:val="0"/>
          <w:sz w:val="24"/>
          <w:highlight w:val="none"/>
        </w:rPr>
        <w:t>　　（5）磋商文件规定的其他情形。</w:t>
      </w:r>
    </w:p>
    <w:p>
      <w:pPr>
        <w:pStyle w:val="91"/>
        <w:spacing w:line="300" w:lineRule="auto"/>
        <w:rPr>
          <w:rFonts w:hint="eastAsia" w:ascii="宋体" w:hAnsi="宋体" w:eastAsia="宋体" w:cs="宋体"/>
          <w:color w:val="auto"/>
          <w:sz w:val="24"/>
          <w:highlight w:val="none"/>
        </w:rPr>
      </w:pPr>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12.5凡没有根据上述规定附有保证金的响应文件将被拒绝。</w:t>
      </w:r>
    </w:p>
    <w:p>
      <w:pPr>
        <w:pStyle w:val="91"/>
        <w:spacing w:line="300" w:lineRule="auto"/>
        <w:rPr>
          <w:rFonts w:hint="eastAsia" w:ascii="宋体" w:hAnsi="宋体" w:eastAsia="宋体" w:cs="宋体"/>
          <w:color w:val="auto"/>
          <w:sz w:val="24"/>
          <w:highlight w:val="none"/>
        </w:rPr>
      </w:pPr>
    </w:p>
    <w:p>
      <w:pPr>
        <w:pStyle w:val="91"/>
        <w:spacing w:line="300" w:lineRule="auto"/>
        <w:rPr>
          <w:rFonts w:hint="eastAsia" w:ascii="宋体" w:hAnsi="宋体" w:eastAsia="宋体" w:cs="宋体"/>
          <w:color w:val="auto"/>
          <w:sz w:val="24"/>
          <w:highlight w:val="none"/>
        </w:rPr>
      </w:pPr>
    </w:p>
    <w:p>
      <w:pPr>
        <w:pStyle w:val="6"/>
        <w:snapToGrid w:val="0"/>
        <w:spacing w:before="0" w:after="0" w:line="300" w:lineRule="auto"/>
        <w:rPr>
          <w:rFonts w:hint="eastAsia" w:ascii="宋体" w:hAnsi="宋体" w:eastAsia="宋体" w:cs="宋体"/>
          <w:color w:val="auto"/>
          <w:highlight w:val="none"/>
        </w:rPr>
      </w:pPr>
      <w:bookmarkStart w:id="398" w:name="_Toc276043889"/>
      <w:bookmarkStart w:id="399" w:name="_Toc187472148"/>
      <w:bookmarkStart w:id="400" w:name="_Toc183524981"/>
      <w:bookmarkStart w:id="401" w:name="_Toc191744969"/>
      <w:bookmarkStart w:id="402" w:name="_Toc250381464"/>
      <w:bookmarkStart w:id="403" w:name="_Toc187472222"/>
      <w:bookmarkStart w:id="404" w:name="_Toc187472348"/>
      <w:bookmarkStart w:id="405" w:name="_Toc352357951"/>
      <w:bookmarkStart w:id="406" w:name="_Toc374966506"/>
      <w:bookmarkStart w:id="407" w:name="_Toc187672039"/>
      <w:bookmarkStart w:id="408" w:name="_Toc183568598"/>
      <w:bookmarkStart w:id="409" w:name="_Toc180073597"/>
      <w:r>
        <w:rPr>
          <w:rFonts w:hint="eastAsia" w:ascii="宋体" w:hAnsi="宋体" w:eastAsia="宋体" w:cs="宋体"/>
          <w:color w:val="auto"/>
          <w:highlight w:val="none"/>
        </w:rPr>
        <w:t>13. 响应文件的式样和签署</w:t>
      </w:r>
      <w:bookmarkEnd w:id="398"/>
      <w:bookmarkEnd w:id="399"/>
      <w:bookmarkEnd w:id="400"/>
      <w:bookmarkEnd w:id="401"/>
      <w:bookmarkEnd w:id="402"/>
      <w:bookmarkEnd w:id="403"/>
      <w:bookmarkEnd w:id="404"/>
      <w:bookmarkEnd w:id="405"/>
      <w:bookmarkEnd w:id="406"/>
      <w:bookmarkEnd w:id="407"/>
      <w:bookmarkEnd w:id="408"/>
      <w:bookmarkEnd w:id="409"/>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13.1供应商应准备一份响应文件正本和</w:t>
      </w:r>
      <w:r>
        <w:rPr>
          <w:rFonts w:hint="eastAsia" w:ascii="宋体" w:hAnsi="宋体" w:eastAsia="宋体" w:cs="宋体"/>
          <w:b/>
          <w:color w:val="auto"/>
          <w:sz w:val="24"/>
          <w:highlight w:val="none"/>
        </w:rPr>
        <w:t>供应商须知资料表中第13.1款</w:t>
      </w:r>
      <w:r>
        <w:rPr>
          <w:rFonts w:hint="eastAsia" w:ascii="宋体" w:hAnsi="宋体" w:eastAsia="宋体" w:cs="宋体"/>
          <w:color w:val="auto"/>
          <w:sz w:val="24"/>
          <w:highlight w:val="none"/>
        </w:rPr>
        <w:t>中规定的副本，每套响应文件须清楚地标明正本或副本。一旦正本和副本不符，以正本为准。</w:t>
      </w:r>
    </w:p>
    <w:p>
      <w:pPr>
        <w:pStyle w:val="91"/>
        <w:spacing w:line="300" w:lineRule="auto"/>
        <w:rPr>
          <w:rFonts w:hint="eastAsia" w:ascii="宋体" w:hAnsi="宋体" w:eastAsia="宋体" w:cs="宋体"/>
          <w:color w:val="auto"/>
          <w:sz w:val="24"/>
          <w:highlight w:val="none"/>
        </w:rPr>
      </w:pPr>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13.2响应文件的正本需打印或用不褪色墨水书写，并由供应商法定代表人或其授权的供应商代表签字并加盖公章。响应文件副本应是正本的清晰复印件。因字体不易辨认造成的后果由供应商承担。</w:t>
      </w:r>
    </w:p>
    <w:p>
      <w:pPr>
        <w:pStyle w:val="91"/>
        <w:spacing w:line="300" w:lineRule="auto"/>
        <w:rPr>
          <w:rFonts w:hint="eastAsia" w:ascii="宋体" w:hAnsi="宋体" w:eastAsia="宋体" w:cs="宋体"/>
          <w:color w:val="auto"/>
          <w:sz w:val="24"/>
          <w:highlight w:val="none"/>
        </w:rPr>
      </w:pPr>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13.3任何行间插字、涂改和增删,必须由响应文件签字人在修改内容旁边签字或加盖供应商公章才有效。</w:t>
      </w:r>
    </w:p>
    <w:p>
      <w:pPr>
        <w:pStyle w:val="91"/>
        <w:spacing w:line="300" w:lineRule="auto"/>
        <w:rPr>
          <w:rFonts w:hint="eastAsia" w:ascii="宋体" w:hAnsi="宋体" w:eastAsia="宋体" w:cs="宋体"/>
          <w:color w:val="auto"/>
          <w:sz w:val="24"/>
          <w:highlight w:val="none"/>
        </w:rPr>
      </w:pPr>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13.4 响应语言应为中文，如必须用英文时应附中文译文，中文与英文如有冲突，以中文为准，并须采用国家法定的计量单位及图形。</w:t>
      </w:r>
    </w:p>
    <w:p>
      <w:pPr>
        <w:pStyle w:val="91"/>
        <w:spacing w:line="300" w:lineRule="auto"/>
        <w:rPr>
          <w:rFonts w:hint="eastAsia" w:ascii="宋体" w:hAnsi="宋体" w:eastAsia="宋体" w:cs="宋体"/>
          <w:color w:val="auto"/>
          <w:sz w:val="24"/>
          <w:highlight w:val="none"/>
        </w:rPr>
      </w:pPr>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13.5响应文件应尽量采用A4纸编制。图表及附属资料可根据需要自行确定。</w:t>
      </w:r>
    </w:p>
    <w:p>
      <w:pPr>
        <w:pStyle w:val="91"/>
        <w:spacing w:line="300" w:lineRule="auto"/>
        <w:rPr>
          <w:rFonts w:hint="eastAsia" w:ascii="宋体" w:hAnsi="宋体" w:eastAsia="宋体" w:cs="宋体"/>
          <w:color w:val="auto"/>
          <w:sz w:val="24"/>
          <w:highlight w:val="none"/>
        </w:rPr>
      </w:pPr>
    </w:p>
    <w:p>
      <w:pPr>
        <w:pStyle w:val="5"/>
        <w:snapToGrid w:val="0"/>
        <w:spacing w:before="0" w:after="0" w:line="300" w:lineRule="auto"/>
        <w:jc w:val="center"/>
        <w:rPr>
          <w:rFonts w:hint="eastAsia" w:ascii="宋体" w:hAnsi="宋体" w:eastAsia="宋体" w:cs="宋体"/>
          <w:color w:val="auto"/>
          <w:highlight w:val="none"/>
        </w:rPr>
      </w:pPr>
      <w:bookmarkStart w:id="410" w:name="_Toc239138580"/>
      <w:bookmarkStart w:id="411" w:name="_Toc250381465"/>
      <w:bookmarkStart w:id="412" w:name="_Toc14006"/>
      <w:bookmarkStart w:id="413" w:name="_Toc352357952"/>
      <w:bookmarkStart w:id="414" w:name="_Toc374966507"/>
      <w:bookmarkStart w:id="415" w:name="_Toc5333"/>
      <w:bookmarkStart w:id="416" w:name="_Toc27668"/>
      <w:bookmarkStart w:id="417" w:name="_Toc12191"/>
      <w:bookmarkStart w:id="418" w:name="_Toc17958"/>
      <w:bookmarkStart w:id="419" w:name="_Toc276043890"/>
      <w:bookmarkStart w:id="420" w:name="_Toc210192422"/>
      <w:bookmarkStart w:id="421" w:name="_Toc201073555"/>
      <w:bookmarkStart w:id="422" w:name="_Toc352358153"/>
      <w:bookmarkStart w:id="423" w:name="_Toc414456726"/>
      <w:bookmarkStart w:id="424" w:name="_Toc201072209"/>
      <w:bookmarkStart w:id="425" w:name="_Toc14774"/>
      <w:bookmarkStart w:id="426" w:name="_Toc22816"/>
      <w:bookmarkStart w:id="427" w:name="_Toc25034"/>
      <w:bookmarkStart w:id="428" w:name="_Toc3764"/>
      <w:bookmarkStart w:id="429" w:name="_Toc201074580"/>
      <w:bookmarkStart w:id="430" w:name="_Toc191744970"/>
      <w:bookmarkStart w:id="431" w:name="_Toc15001"/>
      <w:bookmarkStart w:id="432" w:name="_Toc379571898"/>
      <w:bookmarkStart w:id="433" w:name="_Toc11745"/>
      <w:bookmarkStart w:id="434" w:name="_Toc232434659"/>
      <w:bookmarkStart w:id="435" w:name="_Toc31612"/>
      <w:bookmarkStart w:id="436" w:name="_Toc377394454"/>
      <w:r>
        <w:rPr>
          <w:rFonts w:hint="eastAsia" w:ascii="宋体" w:hAnsi="宋体" w:eastAsia="宋体" w:cs="宋体"/>
          <w:color w:val="auto"/>
          <w:sz w:val="28"/>
          <w:highlight w:val="none"/>
        </w:rPr>
        <w:t>四、响应文件的递交</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pPr>
        <w:snapToGrid w:val="0"/>
        <w:spacing w:line="300" w:lineRule="auto"/>
        <w:rPr>
          <w:rFonts w:hint="eastAsia" w:ascii="宋体" w:hAnsi="宋体" w:eastAsia="宋体" w:cs="宋体"/>
          <w:color w:val="auto"/>
          <w:highlight w:val="none"/>
        </w:rPr>
      </w:pPr>
    </w:p>
    <w:p>
      <w:pPr>
        <w:pStyle w:val="6"/>
        <w:snapToGrid w:val="0"/>
        <w:spacing w:before="0" w:after="0" w:line="300" w:lineRule="auto"/>
        <w:rPr>
          <w:rFonts w:hint="eastAsia" w:ascii="宋体" w:hAnsi="宋体" w:eastAsia="宋体" w:cs="宋体"/>
          <w:color w:val="auto"/>
          <w:highlight w:val="none"/>
        </w:rPr>
      </w:pPr>
      <w:bookmarkStart w:id="437" w:name="_Toc187472224"/>
      <w:bookmarkStart w:id="438" w:name="_Toc352357953"/>
      <w:bookmarkStart w:id="439" w:name="_Toc276043891"/>
      <w:bookmarkStart w:id="440" w:name="_Toc183568600"/>
      <w:bookmarkStart w:id="441" w:name="_Toc191744971"/>
      <w:bookmarkStart w:id="442" w:name="_Toc187472350"/>
      <w:bookmarkStart w:id="443" w:name="_Toc183524983"/>
      <w:bookmarkStart w:id="444" w:name="_Toc250381466"/>
      <w:bookmarkStart w:id="445" w:name="_Toc374966508"/>
      <w:bookmarkStart w:id="446" w:name="_Toc180073599"/>
      <w:bookmarkStart w:id="447" w:name="_Toc187672041"/>
      <w:bookmarkStart w:id="448" w:name="_Toc187472150"/>
      <w:r>
        <w:rPr>
          <w:rFonts w:hint="eastAsia" w:ascii="宋体" w:hAnsi="宋体" w:eastAsia="宋体" w:cs="宋体"/>
          <w:color w:val="auto"/>
          <w:highlight w:val="none"/>
        </w:rPr>
        <w:t>14. 响应文件的密封和标记</w:t>
      </w:r>
      <w:bookmarkEnd w:id="437"/>
      <w:bookmarkEnd w:id="438"/>
      <w:bookmarkEnd w:id="439"/>
      <w:bookmarkEnd w:id="440"/>
      <w:bookmarkEnd w:id="441"/>
      <w:bookmarkEnd w:id="442"/>
      <w:bookmarkEnd w:id="443"/>
      <w:bookmarkEnd w:id="444"/>
      <w:bookmarkEnd w:id="445"/>
      <w:bookmarkEnd w:id="446"/>
      <w:bookmarkEnd w:id="447"/>
      <w:bookmarkEnd w:id="448"/>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14.1供应商应将响应文件正本、副本、电子版都密封包装，且标明正本、副本、电子版本。所有外层密封包装上均应清楚注明：项目名称、编号、包号及对应名称、供应商名称及“在_______（规定的磋商时间）之前不得启封”的字样。</w:t>
      </w:r>
    </w:p>
    <w:p>
      <w:pPr>
        <w:pStyle w:val="91"/>
        <w:spacing w:line="300" w:lineRule="auto"/>
        <w:rPr>
          <w:rFonts w:hint="eastAsia" w:ascii="宋体" w:hAnsi="宋体" w:eastAsia="宋体" w:cs="宋体"/>
          <w:color w:val="auto"/>
          <w:sz w:val="24"/>
          <w:highlight w:val="none"/>
        </w:rPr>
      </w:pPr>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14.2 如果外层包装未按照上述规定标记，采购代理机构对由此产生的后果不承担任何负责。</w:t>
      </w:r>
    </w:p>
    <w:p>
      <w:pPr>
        <w:pStyle w:val="91"/>
        <w:spacing w:line="300" w:lineRule="auto"/>
        <w:rPr>
          <w:rFonts w:hint="eastAsia" w:ascii="宋体" w:hAnsi="宋体" w:eastAsia="宋体" w:cs="宋体"/>
          <w:color w:val="auto"/>
          <w:sz w:val="24"/>
          <w:highlight w:val="none"/>
        </w:rPr>
      </w:pPr>
    </w:p>
    <w:p>
      <w:pPr>
        <w:pStyle w:val="6"/>
        <w:snapToGrid w:val="0"/>
        <w:spacing w:before="0" w:after="0" w:line="300" w:lineRule="auto"/>
        <w:rPr>
          <w:rFonts w:hint="eastAsia" w:ascii="宋体" w:hAnsi="宋体" w:eastAsia="宋体" w:cs="宋体"/>
          <w:color w:val="auto"/>
          <w:highlight w:val="none"/>
        </w:rPr>
      </w:pPr>
      <w:bookmarkStart w:id="449" w:name="_Toc180073600"/>
      <w:bookmarkStart w:id="450" w:name="_Toc183524984"/>
      <w:bookmarkStart w:id="451" w:name="_Toc183568601"/>
      <w:bookmarkStart w:id="452" w:name="_Toc187472351"/>
      <w:bookmarkStart w:id="453" w:name="_Toc187472151"/>
      <w:bookmarkStart w:id="454" w:name="_Toc191744972"/>
      <w:bookmarkStart w:id="455" w:name="_Toc187472225"/>
      <w:bookmarkStart w:id="456" w:name="_Toc187672042"/>
      <w:bookmarkStart w:id="457" w:name="_Toc276043892"/>
      <w:bookmarkStart w:id="458" w:name="_Toc250381467"/>
      <w:bookmarkStart w:id="459" w:name="_Toc374966509"/>
      <w:bookmarkStart w:id="460" w:name="_Toc352357954"/>
      <w:r>
        <w:rPr>
          <w:rFonts w:hint="eastAsia" w:ascii="宋体" w:hAnsi="宋体" w:eastAsia="宋体" w:cs="宋体"/>
          <w:color w:val="auto"/>
          <w:highlight w:val="none"/>
        </w:rPr>
        <w:t>15. 递交响应文件截止</w:t>
      </w:r>
      <w:bookmarkEnd w:id="449"/>
      <w:bookmarkEnd w:id="450"/>
      <w:bookmarkEnd w:id="451"/>
      <w:bookmarkEnd w:id="452"/>
      <w:bookmarkEnd w:id="453"/>
      <w:bookmarkEnd w:id="454"/>
      <w:bookmarkEnd w:id="455"/>
      <w:bookmarkEnd w:id="456"/>
      <w:r>
        <w:rPr>
          <w:rFonts w:hint="eastAsia" w:ascii="宋体" w:hAnsi="宋体" w:eastAsia="宋体" w:cs="宋体"/>
          <w:color w:val="auto"/>
          <w:highlight w:val="none"/>
        </w:rPr>
        <w:t>时间</w:t>
      </w:r>
      <w:bookmarkEnd w:id="457"/>
      <w:bookmarkEnd w:id="458"/>
      <w:bookmarkEnd w:id="459"/>
      <w:bookmarkEnd w:id="460"/>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15.1 供应商应当在磋商文件要求的递交响应文件截止时间前，将响应文件密封送达响应文件接收地址。</w:t>
      </w:r>
    </w:p>
    <w:p>
      <w:pPr>
        <w:pStyle w:val="91"/>
        <w:spacing w:line="300" w:lineRule="auto"/>
        <w:rPr>
          <w:rFonts w:hint="eastAsia" w:ascii="宋体" w:hAnsi="宋体" w:eastAsia="宋体" w:cs="宋体"/>
          <w:color w:val="auto"/>
          <w:sz w:val="24"/>
          <w:highlight w:val="none"/>
        </w:rPr>
      </w:pPr>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15.2 采购代理机构可以酌情延长递交响应文件截止时间。在此情况下，受递交响应文件截止时间制约的所有权利和义务均应延长至新的截止时间。</w:t>
      </w:r>
    </w:p>
    <w:p>
      <w:pPr>
        <w:pStyle w:val="91"/>
        <w:spacing w:line="300" w:lineRule="auto"/>
        <w:rPr>
          <w:rFonts w:hint="eastAsia" w:ascii="宋体" w:hAnsi="宋体" w:eastAsia="宋体" w:cs="宋体"/>
          <w:color w:val="auto"/>
          <w:sz w:val="24"/>
          <w:highlight w:val="none"/>
        </w:rPr>
      </w:pPr>
    </w:p>
    <w:p>
      <w:pPr>
        <w:pStyle w:val="6"/>
        <w:snapToGrid w:val="0"/>
        <w:spacing w:before="0" w:after="0" w:line="300" w:lineRule="auto"/>
        <w:rPr>
          <w:rFonts w:hint="eastAsia" w:ascii="宋体" w:hAnsi="宋体" w:eastAsia="宋体" w:cs="宋体"/>
          <w:color w:val="auto"/>
          <w:highlight w:val="none"/>
        </w:rPr>
      </w:pPr>
      <w:bookmarkStart w:id="461" w:name="_Toc15209"/>
      <w:bookmarkStart w:id="462" w:name="_Toc25486"/>
      <w:bookmarkStart w:id="463" w:name="_Toc11467"/>
      <w:bookmarkStart w:id="464" w:name="_Toc11890"/>
      <w:r>
        <w:rPr>
          <w:rFonts w:hint="eastAsia" w:ascii="宋体" w:hAnsi="宋体" w:eastAsia="宋体" w:cs="宋体"/>
          <w:color w:val="auto"/>
          <w:highlight w:val="none"/>
        </w:rPr>
        <w:t>16．</w:t>
      </w:r>
      <w:bookmarkEnd w:id="461"/>
      <w:bookmarkEnd w:id="462"/>
      <w:bookmarkEnd w:id="463"/>
      <w:bookmarkEnd w:id="464"/>
      <w:r>
        <w:rPr>
          <w:rFonts w:hint="eastAsia" w:ascii="宋体" w:hAnsi="宋体" w:eastAsia="宋体" w:cs="宋体"/>
          <w:color w:val="auto"/>
          <w:highlight w:val="none"/>
        </w:rPr>
        <w:t>逾期送达或者未按照磋商文件要求密封的响应文件</w:t>
      </w:r>
    </w:p>
    <w:p>
      <w:pPr>
        <w:pStyle w:val="91"/>
        <w:spacing w:line="3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逾期送达或者未按照磋商文件要求密封的响应文件，采购人、采购代理机构应当拒收。</w:t>
      </w:r>
    </w:p>
    <w:p>
      <w:pPr>
        <w:pStyle w:val="91"/>
        <w:spacing w:line="300" w:lineRule="auto"/>
        <w:rPr>
          <w:rFonts w:hint="eastAsia" w:ascii="宋体" w:hAnsi="宋体" w:eastAsia="宋体" w:cs="宋体"/>
          <w:color w:val="auto"/>
          <w:sz w:val="24"/>
          <w:highlight w:val="none"/>
        </w:rPr>
      </w:pPr>
    </w:p>
    <w:p>
      <w:pPr>
        <w:pStyle w:val="6"/>
        <w:snapToGrid w:val="0"/>
        <w:spacing w:before="0" w:after="0" w:line="300" w:lineRule="auto"/>
        <w:rPr>
          <w:rFonts w:hint="eastAsia" w:ascii="宋体" w:hAnsi="宋体" w:eastAsia="宋体" w:cs="宋体"/>
          <w:color w:val="auto"/>
          <w:highlight w:val="none"/>
        </w:rPr>
      </w:pPr>
      <w:bookmarkStart w:id="465" w:name="_Toc180073602"/>
      <w:bookmarkStart w:id="466" w:name="_Toc276043894"/>
      <w:bookmarkStart w:id="467" w:name="_Toc374966511"/>
      <w:bookmarkStart w:id="468" w:name="_Toc183524986"/>
      <w:bookmarkStart w:id="469" w:name="_Toc250381469"/>
      <w:bookmarkStart w:id="470" w:name="_Toc191744974"/>
      <w:bookmarkStart w:id="471" w:name="_Toc187472153"/>
      <w:bookmarkStart w:id="472" w:name="_Toc187472227"/>
      <w:bookmarkStart w:id="473" w:name="_Toc187672044"/>
      <w:bookmarkStart w:id="474" w:name="_Toc187472353"/>
      <w:bookmarkStart w:id="475" w:name="_Toc352357956"/>
      <w:bookmarkStart w:id="476" w:name="_Toc183568603"/>
      <w:r>
        <w:rPr>
          <w:rFonts w:hint="eastAsia" w:ascii="宋体" w:hAnsi="宋体" w:eastAsia="宋体" w:cs="宋体"/>
          <w:color w:val="auto"/>
          <w:highlight w:val="none"/>
        </w:rPr>
        <w:t>17. 响应文件的修改与撤回</w:t>
      </w:r>
      <w:bookmarkEnd w:id="465"/>
      <w:bookmarkEnd w:id="466"/>
      <w:bookmarkEnd w:id="467"/>
      <w:bookmarkEnd w:id="468"/>
      <w:bookmarkEnd w:id="469"/>
      <w:bookmarkEnd w:id="470"/>
      <w:bookmarkEnd w:id="471"/>
      <w:bookmarkEnd w:id="472"/>
      <w:bookmarkEnd w:id="473"/>
      <w:bookmarkEnd w:id="474"/>
      <w:bookmarkEnd w:id="475"/>
      <w:bookmarkEnd w:id="476"/>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17.1至响应文件有效期满前，供应商不得撤回或修改其最终响应文件，否则其保证金将按照磋商文件相关规定被没收。</w:t>
      </w:r>
    </w:p>
    <w:p>
      <w:pPr>
        <w:pStyle w:val="91"/>
        <w:spacing w:line="300" w:lineRule="auto"/>
        <w:rPr>
          <w:rFonts w:hint="eastAsia" w:ascii="宋体" w:hAnsi="宋体" w:eastAsia="宋体" w:cs="宋体"/>
          <w:color w:val="auto"/>
          <w:sz w:val="24"/>
          <w:highlight w:val="none"/>
        </w:rPr>
      </w:pPr>
    </w:p>
    <w:p>
      <w:pPr>
        <w:pStyle w:val="5"/>
        <w:snapToGrid w:val="0"/>
        <w:spacing w:before="0" w:after="0" w:line="300" w:lineRule="auto"/>
        <w:jc w:val="center"/>
        <w:rPr>
          <w:rFonts w:hint="eastAsia" w:ascii="宋体" w:hAnsi="宋体" w:eastAsia="宋体" w:cs="宋体"/>
          <w:color w:val="auto"/>
          <w:highlight w:val="none"/>
        </w:rPr>
      </w:pPr>
      <w:bookmarkStart w:id="477" w:name="_Toc210192423"/>
      <w:bookmarkStart w:id="478" w:name="_Toc352358154"/>
      <w:bookmarkStart w:id="479" w:name="_Toc232434660"/>
      <w:bookmarkStart w:id="480" w:name="_Toc201072210"/>
      <w:bookmarkStart w:id="481" w:name="_Toc250381470"/>
      <w:bookmarkStart w:id="482" w:name="_Toc201073556"/>
      <w:bookmarkStart w:id="483" w:name="_Toc201074581"/>
      <w:bookmarkStart w:id="484" w:name="_Toc276043895"/>
      <w:bookmarkStart w:id="485" w:name="_Toc352357957"/>
      <w:bookmarkStart w:id="486" w:name="_Toc239138581"/>
      <w:bookmarkStart w:id="487" w:name="_Toc191744975"/>
      <w:bookmarkStart w:id="488" w:name="_Toc19644"/>
      <w:bookmarkStart w:id="489" w:name="_Toc8639"/>
      <w:bookmarkStart w:id="490" w:name="_Toc18631"/>
      <w:bookmarkStart w:id="491" w:name="_Toc12094"/>
      <w:bookmarkStart w:id="492" w:name="_Toc379571899"/>
      <w:bookmarkStart w:id="493" w:name="_Toc10747"/>
      <w:bookmarkStart w:id="494" w:name="_Toc22269"/>
      <w:bookmarkStart w:id="495" w:name="_Toc24017"/>
      <w:bookmarkStart w:id="496" w:name="_Toc27622"/>
      <w:bookmarkStart w:id="497" w:name="_Toc414456727"/>
      <w:bookmarkStart w:id="498" w:name="_Toc7055"/>
      <w:bookmarkStart w:id="499" w:name="_Toc9691"/>
      <w:bookmarkStart w:id="500" w:name="_Toc25376"/>
      <w:bookmarkStart w:id="501" w:name="_Toc23020"/>
      <w:bookmarkStart w:id="502" w:name="_Toc377394455"/>
      <w:bookmarkStart w:id="503" w:name="_Toc374966512"/>
      <w:r>
        <w:rPr>
          <w:rFonts w:hint="eastAsia" w:ascii="宋体" w:hAnsi="宋体" w:eastAsia="宋体" w:cs="宋体"/>
          <w:color w:val="auto"/>
          <w:sz w:val="28"/>
          <w:highlight w:val="none"/>
        </w:rPr>
        <w:t>五、</w:t>
      </w:r>
      <w:bookmarkEnd w:id="477"/>
      <w:bookmarkEnd w:id="478"/>
      <w:bookmarkEnd w:id="479"/>
      <w:bookmarkEnd w:id="480"/>
      <w:bookmarkEnd w:id="481"/>
      <w:bookmarkEnd w:id="482"/>
      <w:bookmarkEnd w:id="483"/>
      <w:bookmarkEnd w:id="484"/>
      <w:bookmarkEnd w:id="485"/>
      <w:bookmarkEnd w:id="486"/>
      <w:bookmarkEnd w:id="487"/>
      <w:r>
        <w:rPr>
          <w:rFonts w:hint="eastAsia" w:ascii="宋体" w:hAnsi="宋体" w:eastAsia="宋体" w:cs="宋体"/>
          <w:color w:val="auto"/>
          <w:sz w:val="28"/>
          <w:highlight w:val="none"/>
        </w:rPr>
        <w:t>评审</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pPr>
        <w:snapToGrid w:val="0"/>
        <w:spacing w:line="300" w:lineRule="auto"/>
        <w:rPr>
          <w:rFonts w:hint="eastAsia" w:ascii="宋体" w:hAnsi="宋体" w:eastAsia="宋体" w:cs="宋体"/>
          <w:color w:val="auto"/>
          <w:highlight w:val="none"/>
        </w:rPr>
      </w:pPr>
    </w:p>
    <w:p>
      <w:pPr>
        <w:pStyle w:val="6"/>
        <w:snapToGrid w:val="0"/>
        <w:spacing w:before="0" w:after="0" w:line="300" w:lineRule="auto"/>
        <w:rPr>
          <w:rFonts w:hint="eastAsia" w:ascii="宋体" w:hAnsi="宋体" w:eastAsia="宋体" w:cs="宋体"/>
          <w:color w:val="auto"/>
          <w:highlight w:val="none"/>
        </w:rPr>
      </w:pPr>
      <w:bookmarkStart w:id="504" w:name="_Toc276043896"/>
      <w:bookmarkStart w:id="505" w:name="_Toc352357958"/>
      <w:bookmarkStart w:id="506" w:name="_Toc187472355"/>
      <w:bookmarkStart w:id="507" w:name="_Toc183524988"/>
      <w:bookmarkStart w:id="508" w:name="_Toc250381471"/>
      <w:bookmarkStart w:id="509" w:name="_Toc183568605"/>
      <w:bookmarkStart w:id="510" w:name="_Toc187472229"/>
      <w:bookmarkStart w:id="511" w:name="_Toc187472155"/>
      <w:bookmarkStart w:id="512" w:name="_Toc187672046"/>
      <w:bookmarkStart w:id="513" w:name="_Toc374966513"/>
      <w:bookmarkStart w:id="514" w:name="_Toc180073604"/>
      <w:bookmarkStart w:id="515" w:name="_Toc191744976"/>
      <w:r>
        <w:rPr>
          <w:rFonts w:hint="eastAsia" w:ascii="宋体" w:hAnsi="宋体" w:eastAsia="宋体" w:cs="宋体"/>
          <w:color w:val="auto"/>
          <w:highlight w:val="none"/>
        </w:rPr>
        <w:t>18. 对响应文件的澄清</w:t>
      </w:r>
      <w:bookmarkEnd w:id="504"/>
      <w:bookmarkEnd w:id="505"/>
      <w:bookmarkEnd w:id="506"/>
      <w:bookmarkEnd w:id="507"/>
      <w:bookmarkEnd w:id="508"/>
      <w:bookmarkEnd w:id="509"/>
      <w:bookmarkEnd w:id="510"/>
      <w:bookmarkEnd w:id="511"/>
      <w:bookmarkEnd w:id="512"/>
      <w:bookmarkEnd w:id="513"/>
      <w:bookmarkEnd w:id="514"/>
      <w:bookmarkEnd w:id="515"/>
    </w:p>
    <w:p>
      <w:pPr>
        <w:snapToGrid w:val="0"/>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18.1</w:t>
      </w:r>
      <w:r>
        <w:rPr>
          <w:rFonts w:hint="eastAsia" w:ascii="宋体" w:hAnsi="宋体" w:eastAsia="宋体" w:cs="宋体"/>
          <w:color w:val="auto"/>
          <w:kern w:val="0"/>
          <w:sz w:val="24"/>
          <w:highlight w:val="none"/>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pPr>
        <w:widowControl/>
        <w:snapToGrid w:val="0"/>
        <w:spacing w:line="300" w:lineRule="auto"/>
        <w:ind w:firstLine="480"/>
        <w:rPr>
          <w:rFonts w:hint="eastAsia" w:ascii="宋体" w:hAnsi="宋体" w:eastAsia="宋体" w:cs="宋体"/>
          <w:color w:val="auto"/>
          <w:highlight w:val="none"/>
        </w:rPr>
      </w:pPr>
      <w:r>
        <w:rPr>
          <w:rFonts w:hint="eastAsia" w:ascii="宋体" w:hAnsi="宋体" w:eastAsia="宋体" w:cs="宋体"/>
          <w:color w:val="auto"/>
          <w:kern w:val="0"/>
          <w:sz w:val="24"/>
          <w:highlight w:val="none"/>
        </w:rPr>
        <w:t>磋商小组要求供应商澄清、说明或者更正响应文件应当以书面形式做出。供应商的澄清、说明或者更正应当由供应商法定代表人或其授权代表签字或者加盖公章；由授权代表签字的，应当附供应商法定代表人授权书。供应商为自然人的，应当由本人签字并附身份证明。</w:t>
      </w:r>
    </w:p>
    <w:p>
      <w:pPr>
        <w:pStyle w:val="91"/>
        <w:spacing w:line="300" w:lineRule="auto"/>
        <w:rPr>
          <w:rFonts w:hint="eastAsia" w:ascii="宋体" w:hAnsi="宋体" w:eastAsia="宋体" w:cs="宋体"/>
          <w:color w:val="auto"/>
          <w:sz w:val="24"/>
          <w:highlight w:val="none"/>
        </w:rPr>
      </w:pPr>
    </w:p>
    <w:p>
      <w:pPr>
        <w:pStyle w:val="6"/>
        <w:snapToGrid w:val="0"/>
        <w:spacing w:before="0" w:after="0" w:line="300" w:lineRule="auto"/>
        <w:rPr>
          <w:rFonts w:hint="eastAsia" w:ascii="宋体" w:hAnsi="宋体" w:eastAsia="宋体" w:cs="宋体"/>
          <w:color w:val="auto"/>
          <w:highlight w:val="none"/>
        </w:rPr>
      </w:pPr>
      <w:bookmarkStart w:id="516" w:name="_Toc250381472"/>
      <w:bookmarkStart w:id="517" w:name="_Toc352357959"/>
      <w:bookmarkStart w:id="518" w:name="_Toc276043897"/>
      <w:bookmarkStart w:id="519" w:name="_Toc374966514"/>
      <w:r>
        <w:rPr>
          <w:rFonts w:hint="eastAsia" w:ascii="宋体" w:hAnsi="宋体" w:eastAsia="宋体" w:cs="宋体"/>
          <w:color w:val="auto"/>
          <w:highlight w:val="none"/>
        </w:rPr>
        <w:t xml:space="preserve">19. </w:t>
      </w:r>
      <w:bookmarkEnd w:id="516"/>
      <w:bookmarkEnd w:id="517"/>
      <w:bookmarkEnd w:id="518"/>
      <w:r>
        <w:rPr>
          <w:rFonts w:hint="eastAsia" w:ascii="宋体" w:hAnsi="宋体" w:eastAsia="宋体" w:cs="宋体"/>
          <w:color w:val="auto"/>
          <w:highlight w:val="none"/>
        </w:rPr>
        <w:t>影响评审和授予合同</w:t>
      </w:r>
      <w:bookmarkEnd w:id="519"/>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19.1从递交响应文件后至授予合同期间，若供应商违反政府采购的相关法规而试图对采购方的评议或授予合同的决定进行影响，其响应文件可被拒绝。</w:t>
      </w:r>
    </w:p>
    <w:p>
      <w:pPr>
        <w:pStyle w:val="91"/>
        <w:spacing w:line="300" w:lineRule="auto"/>
        <w:rPr>
          <w:rFonts w:hint="eastAsia" w:ascii="宋体" w:hAnsi="宋体" w:eastAsia="宋体" w:cs="宋体"/>
          <w:color w:val="auto"/>
          <w:sz w:val="24"/>
          <w:highlight w:val="none"/>
        </w:rPr>
      </w:pPr>
    </w:p>
    <w:p>
      <w:pPr>
        <w:pStyle w:val="6"/>
        <w:snapToGrid w:val="0"/>
        <w:spacing w:before="0" w:after="0" w:line="300" w:lineRule="auto"/>
        <w:rPr>
          <w:rFonts w:hint="eastAsia" w:ascii="宋体" w:hAnsi="宋体" w:eastAsia="宋体" w:cs="宋体"/>
          <w:color w:val="auto"/>
          <w:highlight w:val="none"/>
        </w:rPr>
      </w:pPr>
      <w:bookmarkStart w:id="520" w:name="_Toc187472356"/>
      <w:bookmarkStart w:id="521" w:name="_Toc250381473"/>
      <w:bookmarkStart w:id="522" w:name="_Toc187472156"/>
      <w:bookmarkStart w:id="523" w:name="_Toc180073605"/>
      <w:bookmarkStart w:id="524" w:name="_Toc187472230"/>
      <w:bookmarkStart w:id="525" w:name="_Toc187672047"/>
      <w:bookmarkStart w:id="526" w:name="_Toc183568606"/>
      <w:bookmarkStart w:id="527" w:name="_Toc183524989"/>
      <w:bookmarkStart w:id="528" w:name="_Toc276043898"/>
      <w:bookmarkStart w:id="529" w:name="_Toc191744977"/>
      <w:bookmarkStart w:id="530" w:name="_Toc352357960"/>
      <w:bookmarkStart w:id="531" w:name="_Toc374966515"/>
      <w:r>
        <w:rPr>
          <w:rFonts w:hint="eastAsia" w:ascii="宋体" w:hAnsi="宋体" w:eastAsia="宋体" w:cs="宋体"/>
          <w:color w:val="auto"/>
          <w:highlight w:val="none"/>
        </w:rPr>
        <w:t>20. 响应文件的初审</w:t>
      </w:r>
      <w:bookmarkEnd w:id="520"/>
      <w:bookmarkEnd w:id="521"/>
      <w:bookmarkEnd w:id="522"/>
      <w:bookmarkEnd w:id="523"/>
      <w:bookmarkEnd w:id="524"/>
      <w:bookmarkEnd w:id="525"/>
      <w:bookmarkEnd w:id="526"/>
      <w:bookmarkEnd w:id="527"/>
      <w:bookmarkEnd w:id="528"/>
      <w:bookmarkEnd w:id="529"/>
      <w:bookmarkEnd w:id="530"/>
      <w:bookmarkEnd w:id="531"/>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20.1 磋商小组将首先审查响应文件是否完整、有效，有无计算上的错误，是否提交了保证金，文件签署是否合格，是否达到基本要求等。</w:t>
      </w:r>
    </w:p>
    <w:p>
      <w:pPr>
        <w:pStyle w:val="91"/>
        <w:spacing w:line="300" w:lineRule="auto"/>
        <w:rPr>
          <w:rFonts w:hint="eastAsia" w:ascii="宋体" w:hAnsi="宋体" w:eastAsia="宋体" w:cs="宋体"/>
          <w:color w:val="auto"/>
          <w:sz w:val="24"/>
          <w:highlight w:val="none"/>
        </w:rPr>
      </w:pPr>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20.2 最后报价中的算术错误将按以下方法更正：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如果供应商不接受对其错误的更正，其响应文件将被拒绝。</w:t>
      </w:r>
    </w:p>
    <w:p>
      <w:pPr>
        <w:pStyle w:val="91"/>
        <w:spacing w:line="300" w:lineRule="auto"/>
        <w:rPr>
          <w:rFonts w:hint="eastAsia" w:ascii="宋体" w:hAnsi="宋体" w:eastAsia="宋体" w:cs="宋体"/>
          <w:color w:val="auto"/>
          <w:sz w:val="24"/>
          <w:highlight w:val="none"/>
        </w:rPr>
      </w:pPr>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20.3 对于响应文件中不构成实质性偏离的小的不正规、不一致或不规则，磋商小组可以接受，但这种接受不能损害或影响任何供应商的相对排序。</w:t>
      </w:r>
    </w:p>
    <w:p>
      <w:pPr>
        <w:pStyle w:val="91"/>
        <w:spacing w:line="300" w:lineRule="auto"/>
        <w:rPr>
          <w:rFonts w:hint="eastAsia" w:ascii="宋体" w:hAnsi="宋体" w:eastAsia="宋体" w:cs="宋体"/>
          <w:color w:val="auto"/>
          <w:sz w:val="24"/>
          <w:highlight w:val="none"/>
        </w:rPr>
      </w:pPr>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20.4磋商小组将审查每份响应文件是否实质上响应了磋商文件的要求。实质上响应的响应文件是指与磋商文件要求的全部主要条款相符，没有重大缺漏、没有重大负偏离的响应文件。对磋商文件的主要条款有负偏离、保留意见、反对或无响应的响应文件将被认为是非实质性响应的响应文件，该响应文件将被拒绝。具有</w:t>
      </w:r>
      <w:r>
        <w:rPr>
          <w:rFonts w:hint="eastAsia" w:ascii="宋体" w:hAnsi="宋体" w:eastAsia="宋体" w:cs="宋体"/>
          <w:b/>
          <w:color w:val="auto"/>
          <w:sz w:val="24"/>
          <w:highlight w:val="none"/>
        </w:rPr>
        <w:t>供应商须知资料表中第20.4款</w:t>
      </w:r>
      <w:r>
        <w:rPr>
          <w:rFonts w:hint="eastAsia" w:ascii="宋体" w:hAnsi="宋体" w:eastAsia="宋体" w:cs="宋体"/>
          <w:color w:val="auto"/>
          <w:sz w:val="24"/>
          <w:highlight w:val="none"/>
        </w:rPr>
        <w:t>中所列情况的响应文件将被拒绝。</w:t>
      </w:r>
    </w:p>
    <w:p>
      <w:pPr>
        <w:pStyle w:val="91"/>
        <w:spacing w:line="300" w:lineRule="auto"/>
        <w:rPr>
          <w:rFonts w:hint="eastAsia" w:ascii="宋体" w:hAnsi="宋体" w:eastAsia="宋体" w:cs="宋体"/>
          <w:color w:val="auto"/>
          <w:sz w:val="24"/>
          <w:highlight w:val="none"/>
        </w:rPr>
      </w:pPr>
    </w:p>
    <w:p>
      <w:pPr>
        <w:pStyle w:val="6"/>
        <w:snapToGrid w:val="0"/>
        <w:spacing w:before="0" w:after="0" w:line="300" w:lineRule="auto"/>
        <w:rPr>
          <w:rFonts w:hint="eastAsia" w:ascii="宋体" w:hAnsi="宋体" w:eastAsia="宋体" w:cs="宋体"/>
          <w:color w:val="auto"/>
          <w:highlight w:val="none"/>
        </w:rPr>
      </w:pPr>
      <w:bookmarkStart w:id="532" w:name="_Toc183568607"/>
      <w:bookmarkStart w:id="533" w:name="_Toc191744978"/>
      <w:bookmarkStart w:id="534" w:name="_Toc250381474"/>
      <w:bookmarkStart w:id="535" w:name="_Toc276043899"/>
      <w:bookmarkStart w:id="536" w:name="_Toc187472357"/>
      <w:bookmarkStart w:id="537" w:name="_Toc187472157"/>
      <w:bookmarkStart w:id="538" w:name="_Toc187672048"/>
      <w:bookmarkStart w:id="539" w:name="_Toc187472231"/>
      <w:bookmarkStart w:id="540" w:name="_Toc180073606"/>
      <w:bookmarkStart w:id="541" w:name="_Toc352357961"/>
      <w:bookmarkStart w:id="542" w:name="_Toc183524990"/>
      <w:bookmarkStart w:id="543" w:name="_Toc374966516"/>
      <w:r>
        <w:rPr>
          <w:rFonts w:hint="eastAsia" w:ascii="宋体" w:hAnsi="宋体" w:eastAsia="宋体" w:cs="宋体"/>
          <w:color w:val="auto"/>
          <w:highlight w:val="none"/>
        </w:rPr>
        <w:t xml:space="preserve">21. </w:t>
      </w:r>
      <w:bookmarkEnd w:id="532"/>
      <w:bookmarkEnd w:id="533"/>
      <w:bookmarkEnd w:id="534"/>
      <w:bookmarkEnd w:id="535"/>
      <w:bookmarkEnd w:id="536"/>
      <w:bookmarkEnd w:id="537"/>
      <w:bookmarkEnd w:id="538"/>
      <w:bookmarkEnd w:id="539"/>
      <w:bookmarkEnd w:id="540"/>
      <w:bookmarkEnd w:id="541"/>
      <w:bookmarkEnd w:id="542"/>
      <w:r>
        <w:rPr>
          <w:rFonts w:hint="eastAsia" w:ascii="宋体" w:hAnsi="宋体" w:eastAsia="宋体" w:cs="宋体"/>
          <w:color w:val="auto"/>
          <w:highlight w:val="none"/>
        </w:rPr>
        <w:t>评审方法</w:t>
      </w:r>
      <w:bookmarkEnd w:id="543"/>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21.1 磋商小组可在任何阶段拒绝非实质上响应磋商文件要求的响应文件，且不再对该响应文件进行下一步评审。</w:t>
      </w:r>
    </w:p>
    <w:p>
      <w:pPr>
        <w:pStyle w:val="91"/>
        <w:spacing w:line="300" w:lineRule="auto"/>
        <w:rPr>
          <w:rFonts w:hint="eastAsia" w:ascii="宋体" w:hAnsi="宋体" w:eastAsia="宋体" w:cs="宋体"/>
          <w:color w:val="auto"/>
          <w:sz w:val="24"/>
          <w:highlight w:val="none"/>
        </w:rPr>
      </w:pPr>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21.2评审将采用</w:t>
      </w:r>
      <w:r>
        <w:rPr>
          <w:rFonts w:hint="eastAsia" w:ascii="宋体" w:hAnsi="宋体" w:eastAsia="宋体" w:cs="宋体"/>
          <w:b/>
          <w:color w:val="auto"/>
          <w:sz w:val="24"/>
          <w:highlight w:val="none"/>
        </w:rPr>
        <w:t>供应商须知资料表第21.2款</w:t>
      </w:r>
      <w:r>
        <w:rPr>
          <w:rFonts w:hint="eastAsia" w:ascii="宋体" w:hAnsi="宋体" w:eastAsia="宋体" w:cs="宋体"/>
          <w:color w:val="auto"/>
          <w:sz w:val="24"/>
          <w:highlight w:val="none"/>
        </w:rPr>
        <w:t>中规定的方式进行评比。</w:t>
      </w:r>
    </w:p>
    <w:p>
      <w:pPr>
        <w:pStyle w:val="91"/>
        <w:spacing w:line="300" w:lineRule="auto"/>
        <w:rPr>
          <w:rFonts w:hint="eastAsia" w:ascii="宋体" w:hAnsi="宋体" w:eastAsia="宋体" w:cs="宋体"/>
          <w:color w:val="auto"/>
          <w:sz w:val="24"/>
          <w:highlight w:val="none"/>
        </w:rPr>
      </w:pPr>
    </w:p>
    <w:p>
      <w:pPr>
        <w:pStyle w:val="6"/>
        <w:snapToGrid w:val="0"/>
        <w:spacing w:before="0" w:after="0" w:line="300" w:lineRule="auto"/>
        <w:rPr>
          <w:rFonts w:hint="eastAsia" w:ascii="宋体" w:hAnsi="宋体" w:eastAsia="宋体" w:cs="宋体"/>
          <w:color w:val="auto"/>
          <w:highlight w:val="none"/>
        </w:rPr>
      </w:pPr>
      <w:bookmarkStart w:id="544" w:name="_Toc201155634"/>
      <w:bookmarkStart w:id="545" w:name="_Toc194243379"/>
      <w:bookmarkStart w:id="546" w:name="_Toc207029511"/>
      <w:bookmarkStart w:id="547" w:name="_Toc203204022"/>
      <w:bookmarkStart w:id="548" w:name="_Toc193860219"/>
      <w:bookmarkStart w:id="549" w:name="_Toc207014827"/>
      <w:bookmarkStart w:id="550" w:name="_Toc204768008"/>
      <w:bookmarkStart w:id="551" w:name="_Toc193812330"/>
      <w:bookmarkStart w:id="552" w:name="_Toc207025267"/>
      <w:bookmarkStart w:id="553" w:name="_Toc201150144"/>
      <w:bookmarkStart w:id="554" w:name="_Toc207014929"/>
      <w:bookmarkStart w:id="555" w:name="_Toc250381476"/>
      <w:bookmarkStart w:id="556" w:name="_Toc205016342"/>
      <w:bookmarkStart w:id="557" w:name="_Toc276043901"/>
      <w:bookmarkStart w:id="558" w:name="_Toc203204990"/>
      <w:bookmarkStart w:id="559" w:name="_Toc212309598"/>
      <w:bookmarkStart w:id="560" w:name="_Toc191349404"/>
      <w:bookmarkStart w:id="561" w:name="_Toc203203818"/>
      <w:bookmarkStart w:id="562" w:name="_Toc207024735"/>
      <w:bookmarkStart w:id="563" w:name="_Toc352357963"/>
      <w:bookmarkStart w:id="564" w:name="_Toc206213928"/>
      <w:bookmarkStart w:id="565" w:name="_Toc194112863"/>
      <w:bookmarkStart w:id="566" w:name="_Toc374966518"/>
      <w:bookmarkStart w:id="567" w:name="_Toc201155442"/>
      <w:bookmarkStart w:id="568" w:name="_Toc212313392"/>
      <w:r>
        <w:rPr>
          <w:rFonts w:hint="eastAsia" w:ascii="宋体" w:hAnsi="宋体" w:eastAsia="宋体" w:cs="宋体"/>
          <w:color w:val="auto"/>
          <w:highlight w:val="none"/>
        </w:rPr>
        <w:t>22.</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r>
        <w:rPr>
          <w:rFonts w:hint="eastAsia" w:ascii="宋体" w:hAnsi="宋体" w:eastAsia="宋体" w:cs="宋体"/>
          <w:color w:val="auto"/>
          <w:highlight w:val="none"/>
        </w:rPr>
        <w:t>评审报告</w:t>
      </w:r>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22.1评审报告将及时报送采购人审查。采购人将对评审报告及成交单位进行确认。</w:t>
      </w:r>
    </w:p>
    <w:p>
      <w:pPr>
        <w:pStyle w:val="91"/>
        <w:spacing w:line="300" w:lineRule="auto"/>
        <w:rPr>
          <w:rFonts w:hint="eastAsia" w:ascii="宋体" w:hAnsi="宋体" w:eastAsia="宋体" w:cs="宋体"/>
          <w:color w:val="auto"/>
          <w:sz w:val="24"/>
          <w:highlight w:val="none"/>
        </w:rPr>
      </w:pPr>
    </w:p>
    <w:p>
      <w:pPr>
        <w:pStyle w:val="6"/>
        <w:snapToGrid w:val="0"/>
        <w:spacing w:before="0" w:after="0" w:line="300" w:lineRule="auto"/>
        <w:rPr>
          <w:rFonts w:hint="eastAsia" w:ascii="宋体" w:hAnsi="宋体" w:eastAsia="宋体" w:cs="宋体"/>
          <w:color w:val="auto"/>
          <w:highlight w:val="none"/>
        </w:rPr>
      </w:pPr>
      <w:bookmarkStart w:id="569" w:name="_Toc374966517"/>
      <w:r>
        <w:rPr>
          <w:rFonts w:hint="eastAsia" w:ascii="宋体" w:hAnsi="宋体" w:eastAsia="宋体" w:cs="宋体"/>
          <w:color w:val="auto"/>
          <w:highlight w:val="none"/>
        </w:rPr>
        <w:t xml:space="preserve">23. </w:t>
      </w:r>
      <w:bookmarkEnd w:id="569"/>
      <w:r>
        <w:rPr>
          <w:rFonts w:hint="eastAsia" w:ascii="宋体" w:hAnsi="宋体" w:eastAsia="宋体" w:cs="宋体"/>
          <w:color w:val="auto"/>
          <w:highlight w:val="none"/>
        </w:rPr>
        <w:t>终止采购活动</w:t>
      </w:r>
    </w:p>
    <w:p>
      <w:pPr>
        <w:widowControl/>
        <w:snapToGrid w:val="0"/>
        <w:spacing w:line="300" w:lineRule="auto"/>
        <w:rPr>
          <w:rFonts w:hint="eastAsia" w:ascii="宋体" w:hAnsi="宋体" w:eastAsia="宋体" w:cs="宋体"/>
          <w:color w:val="auto"/>
          <w:highlight w:val="none"/>
        </w:rPr>
      </w:pPr>
      <w:r>
        <w:rPr>
          <w:rFonts w:hint="eastAsia" w:ascii="宋体" w:hAnsi="宋体" w:eastAsia="宋体" w:cs="宋体"/>
          <w:color w:val="auto"/>
          <w:kern w:val="0"/>
          <w:sz w:val="24"/>
          <w:highlight w:val="none"/>
        </w:rPr>
        <w:t>23.1 出现下列情形之一的，采购人或者采购代理机构将终止竞争性磋商采购活动，发布项目终止公告并说明原因，重新开展采购活动：</w:t>
      </w:r>
    </w:p>
    <w:p>
      <w:pPr>
        <w:widowControl/>
        <w:snapToGrid w:val="0"/>
        <w:spacing w:line="300" w:lineRule="auto"/>
        <w:rPr>
          <w:rFonts w:hint="eastAsia" w:ascii="宋体" w:hAnsi="宋体" w:eastAsia="宋体" w:cs="宋体"/>
          <w:color w:val="auto"/>
          <w:highlight w:val="none"/>
        </w:rPr>
      </w:pPr>
      <w:r>
        <w:rPr>
          <w:rFonts w:hint="eastAsia" w:ascii="宋体" w:hAnsi="宋体" w:eastAsia="宋体" w:cs="宋体"/>
          <w:color w:val="auto"/>
          <w:kern w:val="0"/>
          <w:sz w:val="24"/>
          <w:highlight w:val="none"/>
        </w:rPr>
        <w:t>（1）因情况变化，不再符合规定的竞争性磋商采购方式适用情形的；</w:t>
      </w:r>
    </w:p>
    <w:p>
      <w:pPr>
        <w:widowControl/>
        <w:snapToGrid w:val="0"/>
        <w:spacing w:line="300" w:lineRule="auto"/>
        <w:rPr>
          <w:rFonts w:hint="eastAsia" w:ascii="宋体" w:hAnsi="宋体" w:eastAsia="宋体" w:cs="宋体"/>
          <w:color w:val="auto"/>
          <w:highlight w:val="none"/>
        </w:rPr>
      </w:pPr>
      <w:r>
        <w:rPr>
          <w:rFonts w:hint="eastAsia" w:ascii="宋体" w:hAnsi="宋体" w:eastAsia="宋体" w:cs="宋体"/>
          <w:color w:val="auto"/>
          <w:kern w:val="0"/>
          <w:sz w:val="24"/>
          <w:highlight w:val="none"/>
        </w:rPr>
        <w:t>（2）出现影响采购公正的违法、违规行为的；</w:t>
      </w:r>
    </w:p>
    <w:p>
      <w:pPr>
        <w:widowControl/>
        <w:snapToGrid w:val="0"/>
        <w:spacing w:line="300" w:lineRule="auto"/>
        <w:rPr>
          <w:rFonts w:hint="eastAsia" w:ascii="宋体" w:hAnsi="宋体" w:eastAsia="宋体" w:cs="宋体"/>
          <w:color w:val="auto"/>
          <w:highlight w:val="none"/>
        </w:rPr>
      </w:pPr>
      <w:r>
        <w:rPr>
          <w:rFonts w:hint="eastAsia" w:ascii="宋体" w:hAnsi="宋体" w:eastAsia="宋体" w:cs="宋体"/>
          <w:color w:val="auto"/>
          <w:kern w:val="0"/>
          <w:sz w:val="24"/>
          <w:highlight w:val="none"/>
        </w:rPr>
        <w:t>（3）不符合其他相关规定。</w:t>
      </w:r>
    </w:p>
    <w:p>
      <w:pPr>
        <w:widowControl/>
        <w:snapToGrid w:val="0"/>
        <w:spacing w:line="300" w:lineRule="auto"/>
        <w:rPr>
          <w:rFonts w:hint="eastAsia" w:ascii="宋体" w:hAnsi="宋体" w:eastAsia="宋体" w:cs="宋体"/>
          <w:color w:val="auto"/>
          <w:kern w:val="0"/>
          <w:sz w:val="24"/>
          <w:highlight w:val="none"/>
        </w:rPr>
      </w:pPr>
    </w:p>
    <w:p>
      <w:pPr>
        <w:pStyle w:val="5"/>
        <w:snapToGrid w:val="0"/>
        <w:spacing w:before="0" w:after="0" w:line="300" w:lineRule="auto"/>
        <w:jc w:val="center"/>
        <w:rPr>
          <w:rFonts w:hint="eastAsia" w:ascii="宋体" w:hAnsi="宋体" w:eastAsia="宋体" w:cs="宋体"/>
          <w:color w:val="auto"/>
          <w:highlight w:val="none"/>
        </w:rPr>
      </w:pPr>
      <w:bookmarkStart w:id="570" w:name="_Toc374966519"/>
      <w:bookmarkStart w:id="571" w:name="_Toc379571900"/>
      <w:bookmarkStart w:id="572" w:name="_Toc201074582"/>
      <w:bookmarkStart w:id="573" w:name="_Toc201073557"/>
      <w:bookmarkStart w:id="574" w:name="_Toc239138582"/>
      <w:bookmarkStart w:id="575" w:name="_Toc201072211"/>
      <w:bookmarkStart w:id="576" w:name="_Toc414456728"/>
      <w:bookmarkStart w:id="577" w:name="_Toc210192424"/>
      <w:bookmarkStart w:id="578" w:name="_Toc21001"/>
      <w:bookmarkStart w:id="579" w:name="_Toc10044"/>
      <w:bookmarkStart w:id="580" w:name="_Toc191744979"/>
      <w:bookmarkStart w:id="581" w:name="_Toc232434661"/>
      <w:bookmarkStart w:id="582" w:name="_Toc352358155"/>
      <w:bookmarkStart w:id="583" w:name="_Toc352357962"/>
      <w:bookmarkStart w:id="584" w:name="_Toc377394456"/>
      <w:bookmarkStart w:id="585" w:name="_Toc276043900"/>
      <w:bookmarkStart w:id="586" w:name="_Toc250381475"/>
    </w:p>
    <w:p>
      <w:pPr>
        <w:pStyle w:val="5"/>
        <w:snapToGrid w:val="0"/>
        <w:spacing w:before="0" w:after="0" w:line="300" w:lineRule="auto"/>
        <w:jc w:val="center"/>
        <w:rPr>
          <w:rFonts w:hint="eastAsia" w:ascii="宋体" w:hAnsi="宋体" w:eastAsia="宋体" w:cs="宋体"/>
          <w:color w:val="auto"/>
          <w:highlight w:val="none"/>
        </w:rPr>
      </w:pPr>
      <w:bookmarkStart w:id="587" w:name="_Toc685"/>
      <w:bookmarkStart w:id="588" w:name="_Toc1376"/>
      <w:bookmarkStart w:id="589" w:name="_Toc18910"/>
      <w:bookmarkStart w:id="590" w:name="_Toc9025"/>
      <w:bookmarkStart w:id="591" w:name="_Toc18324"/>
      <w:bookmarkStart w:id="592" w:name="_Toc10777"/>
      <w:bookmarkStart w:id="593" w:name="_Toc11517"/>
      <w:bookmarkStart w:id="594" w:name="_Toc19651"/>
      <w:bookmarkStart w:id="595" w:name="_Toc15522"/>
      <w:bookmarkStart w:id="596" w:name="_Toc10027"/>
      <w:r>
        <w:rPr>
          <w:rFonts w:hint="eastAsia" w:ascii="宋体" w:hAnsi="宋体" w:eastAsia="宋体" w:cs="宋体"/>
          <w:color w:val="auto"/>
          <w:sz w:val="28"/>
          <w:highlight w:val="none"/>
        </w:rPr>
        <w:t>六、授予合同</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pPr>
        <w:pStyle w:val="91"/>
        <w:spacing w:line="300" w:lineRule="auto"/>
        <w:rPr>
          <w:rFonts w:hint="eastAsia" w:ascii="宋体" w:hAnsi="宋体" w:eastAsia="宋体" w:cs="宋体"/>
          <w:color w:val="auto"/>
          <w:sz w:val="24"/>
          <w:highlight w:val="none"/>
        </w:rPr>
      </w:pPr>
    </w:p>
    <w:p>
      <w:pPr>
        <w:pStyle w:val="6"/>
        <w:numPr>
          <w:ilvl w:val="0"/>
          <w:numId w:val="2"/>
        </w:numPr>
        <w:snapToGrid w:val="0"/>
        <w:spacing w:before="0" w:after="0" w:line="300" w:lineRule="auto"/>
        <w:rPr>
          <w:rFonts w:hint="eastAsia" w:ascii="宋体" w:hAnsi="宋体" w:eastAsia="宋体" w:cs="宋体"/>
          <w:color w:val="auto"/>
          <w:highlight w:val="none"/>
        </w:rPr>
      </w:pPr>
      <w:bookmarkStart w:id="597" w:name="_Toc8845552"/>
      <w:bookmarkStart w:id="598" w:name="_Toc211679052"/>
      <w:bookmarkStart w:id="599" w:name="_Toc8845709"/>
      <w:bookmarkStart w:id="600" w:name="_Toc52503479"/>
      <w:bookmarkStart w:id="601" w:name="_Toc527379490"/>
      <w:bookmarkStart w:id="602" w:name="_Toc52417607"/>
      <w:bookmarkStart w:id="603" w:name="_Toc211679161"/>
      <w:bookmarkStart w:id="604" w:name="_Toc196070000"/>
      <w:bookmarkStart w:id="605" w:name="_Toc8845636"/>
      <w:bookmarkStart w:id="606" w:name="_Toc211676053"/>
      <w:bookmarkStart w:id="607" w:name="_Toc374966520"/>
      <w:bookmarkStart w:id="608" w:name="_Toc276043902"/>
      <w:bookmarkStart w:id="609" w:name="_Toc352357964"/>
      <w:bookmarkStart w:id="610" w:name="_Toc250381477"/>
      <w:r>
        <w:rPr>
          <w:rFonts w:hint="eastAsia" w:ascii="宋体" w:hAnsi="宋体" w:eastAsia="宋体" w:cs="宋体"/>
          <w:color w:val="auto"/>
          <w:highlight w:val="none"/>
        </w:rPr>
        <w:t>针对采购过程、成交结果质疑及成交单位变更</w:t>
      </w:r>
      <w:bookmarkEnd w:id="597"/>
      <w:bookmarkEnd w:id="598"/>
      <w:bookmarkEnd w:id="599"/>
      <w:bookmarkEnd w:id="600"/>
      <w:bookmarkEnd w:id="601"/>
      <w:bookmarkEnd w:id="602"/>
      <w:bookmarkEnd w:id="603"/>
      <w:bookmarkEnd w:id="604"/>
      <w:bookmarkEnd w:id="605"/>
      <w:bookmarkEnd w:id="606"/>
      <w:r>
        <w:rPr>
          <w:rFonts w:hint="eastAsia" w:ascii="宋体" w:hAnsi="宋体" w:eastAsia="宋体" w:cs="宋体"/>
          <w:color w:val="auto"/>
          <w:highlight w:val="none"/>
        </w:rPr>
        <w:t>及重新采购</w:t>
      </w:r>
      <w:bookmarkEnd w:id="607"/>
      <w:bookmarkEnd w:id="608"/>
      <w:bookmarkEnd w:id="609"/>
      <w:bookmarkEnd w:id="610"/>
    </w:p>
    <w:p>
      <w:pPr>
        <w:widowControl/>
        <w:snapToGrid w:val="0"/>
        <w:spacing w:line="300" w:lineRule="auto"/>
        <w:rPr>
          <w:rFonts w:hint="eastAsia" w:ascii="宋体" w:hAnsi="宋体" w:eastAsia="宋体" w:cs="宋体"/>
          <w:color w:val="auto"/>
          <w:highlight w:val="none"/>
        </w:rPr>
      </w:pPr>
      <w:r>
        <w:rPr>
          <w:rFonts w:hint="eastAsia" w:ascii="宋体" w:hAnsi="宋体" w:eastAsia="宋体" w:cs="宋体"/>
          <w:color w:val="auto"/>
          <w:kern w:val="0"/>
          <w:sz w:val="24"/>
          <w:highlight w:val="none"/>
        </w:rPr>
        <w:t>24.1供应商对采购过程、成交结果询问或者质疑的，必须遵守相关法规，且应提交纸质的质询或者质疑文件正本。应在法定质疑期内一次性提出针对同一采购程序环节的质疑，并按如下要求提供文件（详见第二章第三部分供应商须知第26条质疑函范本）：</w:t>
      </w:r>
    </w:p>
    <w:p>
      <w:pPr>
        <w:widowControl/>
        <w:snapToGrid w:val="0"/>
        <w:spacing w:line="300" w:lineRule="auto"/>
        <w:rPr>
          <w:rFonts w:hint="eastAsia" w:ascii="宋体" w:hAnsi="宋体" w:eastAsia="宋体" w:cs="宋体"/>
          <w:color w:val="auto"/>
          <w:highlight w:val="none"/>
        </w:rPr>
      </w:pPr>
      <w:r>
        <w:rPr>
          <w:rFonts w:hint="eastAsia" w:ascii="宋体" w:hAnsi="宋体" w:eastAsia="宋体" w:cs="宋体"/>
          <w:color w:val="auto"/>
          <w:kern w:val="0"/>
          <w:sz w:val="24"/>
          <w:highlight w:val="none"/>
        </w:rPr>
        <w:t>（1）供应商名称、地址、邮编、联系人和联系电话；</w:t>
      </w:r>
    </w:p>
    <w:p>
      <w:pPr>
        <w:widowControl/>
        <w:snapToGrid w:val="0"/>
        <w:spacing w:line="300" w:lineRule="auto"/>
        <w:rPr>
          <w:rFonts w:hint="eastAsia" w:ascii="宋体" w:hAnsi="宋体" w:eastAsia="宋体" w:cs="宋体"/>
          <w:color w:val="auto"/>
          <w:highlight w:val="none"/>
        </w:rPr>
      </w:pPr>
      <w:r>
        <w:rPr>
          <w:rFonts w:hint="eastAsia" w:ascii="宋体" w:hAnsi="宋体" w:eastAsia="宋体" w:cs="宋体"/>
          <w:color w:val="auto"/>
          <w:kern w:val="0"/>
          <w:sz w:val="24"/>
          <w:highlight w:val="none"/>
        </w:rPr>
        <w:t>（2）质疑项目的名称、编号；</w:t>
      </w:r>
    </w:p>
    <w:p>
      <w:pPr>
        <w:widowControl/>
        <w:snapToGrid w:val="0"/>
        <w:spacing w:line="300" w:lineRule="auto"/>
        <w:rPr>
          <w:rFonts w:hint="eastAsia" w:ascii="宋体" w:hAnsi="宋体" w:eastAsia="宋体" w:cs="宋体"/>
          <w:color w:val="auto"/>
          <w:highlight w:val="none"/>
        </w:rPr>
      </w:pPr>
      <w:r>
        <w:rPr>
          <w:rFonts w:hint="eastAsia" w:ascii="宋体" w:hAnsi="宋体" w:eastAsia="宋体" w:cs="宋体"/>
          <w:color w:val="auto"/>
          <w:kern w:val="0"/>
          <w:sz w:val="24"/>
          <w:highlight w:val="none"/>
        </w:rPr>
        <w:t>（3）具体、明确的质疑事项和与质疑事项相关的请求；</w:t>
      </w:r>
    </w:p>
    <w:p>
      <w:pPr>
        <w:widowControl/>
        <w:snapToGrid w:val="0"/>
        <w:spacing w:line="300" w:lineRule="auto"/>
        <w:rPr>
          <w:rFonts w:hint="eastAsia" w:ascii="宋体" w:hAnsi="宋体" w:eastAsia="宋体" w:cs="宋体"/>
          <w:color w:val="auto"/>
          <w:highlight w:val="none"/>
        </w:rPr>
      </w:pPr>
      <w:r>
        <w:rPr>
          <w:rFonts w:hint="eastAsia" w:ascii="宋体" w:hAnsi="宋体" w:eastAsia="宋体" w:cs="宋体"/>
          <w:color w:val="auto"/>
          <w:kern w:val="0"/>
          <w:sz w:val="24"/>
          <w:highlight w:val="none"/>
        </w:rPr>
        <w:t>（4）事实依据和证明材料；</w:t>
      </w:r>
    </w:p>
    <w:p>
      <w:pPr>
        <w:widowControl/>
        <w:snapToGrid w:val="0"/>
        <w:spacing w:line="300" w:lineRule="auto"/>
        <w:rPr>
          <w:rFonts w:hint="eastAsia" w:ascii="宋体" w:hAnsi="宋体" w:eastAsia="宋体" w:cs="宋体"/>
          <w:color w:val="auto"/>
          <w:highlight w:val="none"/>
        </w:rPr>
      </w:pPr>
      <w:r>
        <w:rPr>
          <w:rFonts w:hint="eastAsia" w:ascii="宋体" w:hAnsi="宋体" w:eastAsia="宋体" w:cs="宋体"/>
          <w:color w:val="auto"/>
          <w:kern w:val="0"/>
          <w:sz w:val="24"/>
          <w:highlight w:val="none"/>
        </w:rPr>
        <w:t>（5）必要的法律依据；</w:t>
      </w:r>
    </w:p>
    <w:p>
      <w:pPr>
        <w:widowControl/>
        <w:snapToGrid w:val="0"/>
        <w:spacing w:line="300" w:lineRule="auto"/>
        <w:rPr>
          <w:rFonts w:hint="eastAsia" w:ascii="宋体" w:hAnsi="宋体" w:eastAsia="宋体" w:cs="宋体"/>
          <w:color w:val="auto"/>
          <w:highlight w:val="none"/>
        </w:rPr>
      </w:pPr>
      <w:r>
        <w:rPr>
          <w:rFonts w:hint="eastAsia" w:ascii="宋体" w:hAnsi="宋体" w:eastAsia="宋体" w:cs="宋体"/>
          <w:color w:val="auto"/>
          <w:kern w:val="0"/>
          <w:sz w:val="24"/>
          <w:highlight w:val="none"/>
        </w:rPr>
        <w:t>（6）提出质疑的日期。</w:t>
      </w:r>
    </w:p>
    <w:p>
      <w:pPr>
        <w:widowControl/>
        <w:snapToGrid w:val="0"/>
        <w:spacing w:line="300" w:lineRule="auto"/>
        <w:rPr>
          <w:rFonts w:hint="eastAsia" w:ascii="宋体" w:hAnsi="宋体" w:eastAsia="宋体" w:cs="宋体"/>
          <w:color w:val="auto"/>
          <w:highlight w:val="none"/>
        </w:rPr>
      </w:pPr>
      <w:r>
        <w:rPr>
          <w:rFonts w:hint="eastAsia" w:ascii="宋体" w:hAnsi="宋体" w:eastAsia="宋体" w:cs="宋体"/>
          <w:color w:val="auto"/>
          <w:kern w:val="0"/>
          <w:sz w:val="24"/>
          <w:highlight w:val="none"/>
        </w:rPr>
        <w:t>24.2供应商为自然人的，应当由本人签字；供应商为法人或者其他组织的，应当由法定代表人、主要负责人或其授权代表签字或盖章并加盖公章；以联合体形式进行质疑的，由参加联合体的供应商共同提出。采购代理机构或采购人将以收到质询或质疑正本的时间为接收时间。供应商需将质询或质疑内容以传真或电子邮件形式发采购代理机构和采购人，并以电话通知，以便采购人和采购代理机构可及时答复。</w:t>
      </w:r>
    </w:p>
    <w:p>
      <w:pPr>
        <w:widowControl/>
        <w:snapToGrid w:val="0"/>
        <w:spacing w:line="300" w:lineRule="auto"/>
        <w:rPr>
          <w:rFonts w:hint="eastAsia" w:ascii="宋体" w:hAnsi="宋体" w:eastAsia="宋体" w:cs="宋体"/>
          <w:color w:val="auto"/>
          <w:highlight w:val="none"/>
        </w:rPr>
      </w:pPr>
      <w:r>
        <w:rPr>
          <w:rFonts w:hint="eastAsia" w:ascii="宋体" w:hAnsi="宋体" w:eastAsia="宋体" w:cs="宋体"/>
          <w:color w:val="auto"/>
          <w:kern w:val="0"/>
          <w:sz w:val="24"/>
          <w:highlight w:val="none"/>
        </w:rPr>
        <w:t xml:space="preserve">  24.3若出现下列情况，采购人可以取消该成交单位的成交资格，按照评审报告提供的成交候选人排序依次确定下一名成交候选人为成交单位（以此类推），也可以重新采购：</w:t>
      </w:r>
    </w:p>
    <w:p>
      <w:pPr>
        <w:widowControl/>
        <w:snapToGrid w:val="0"/>
        <w:spacing w:line="300" w:lineRule="auto"/>
        <w:rPr>
          <w:rFonts w:hint="eastAsia" w:ascii="宋体" w:hAnsi="宋体" w:eastAsia="宋体" w:cs="宋体"/>
          <w:color w:val="auto"/>
          <w:highlight w:val="none"/>
        </w:rPr>
      </w:pPr>
      <w:r>
        <w:rPr>
          <w:rFonts w:hint="eastAsia" w:ascii="宋体" w:hAnsi="宋体" w:eastAsia="宋体" w:cs="宋体"/>
          <w:color w:val="auto"/>
          <w:kern w:val="0"/>
          <w:sz w:val="24"/>
          <w:highlight w:val="none"/>
        </w:rPr>
        <w:t>（1）成交单位放弃成交资格；</w:t>
      </w:r>
    </w:p>
    <w:p>
      <w:pPr>
        <w:widowControl/>
        <w:snapToGrid w:val="0"/>
        <w:spacing w:line="300" w:lineRule="auto"/>
        <w:rPr>
          <w:rFonts w:hint="eastAsia" w:ascii="宋体" w:hAnsi="宋体" w:eastAsia="宋体" w:cs="宋体"/>
          <w:color w:val="auto"/>
          <w:highlight w:val="none"/>
        </w:rPr>
      </w:pPr>
      <w:r>
        <w:rPr>
          <w:rFonts w:hint="eastAsia" w:ascii="宋体" w:hAnsi="宋体" w:eastAsia="宋体" w:cs="宋体"/>
          <w:color w:val="auto"/>
          <w:kern w:val="0"/>
          <w:sz w:val="24"/>
          <w:highlight w:val="none"/>
        </w:rPr>
        <w:t>（2）成交单位被查实存在影响评审结果的违法违规行为从而不再符合成交条件；</w:t>
      </w:r>
    </w:p>
    <w:p>
      <w:pPr>
        <w:widowControl/>
        <w:snapToGrid w:val="0"/>
        <w:spacing w:line="300" w:lineRule="auto"/>
        <w:rPr>
          <w:rFonts w:hint="eastAsia" w:ascii="宋体" w:hAnsi="宋体" w:eastAsia="宋体" w:cs="宋体"/>
          <w:color w:val="auto"/>
          <w:highlight w:val="none"/>
        </w:rPr>
      </w:pPr>
      <w:r>
        <w:rPr>
          <w:rFonts w:hint="eastAsia" w:ascii="宋体" w:hAnsi="宋体" w:eastAsia="宋体" w:cs="宋体"/>
          <w:color w:val="auto"/>
          <w:kern w:val="0"/>
          <w:sz w:val="24"/>
          <w:highlight w:val="none"/>
        </w:rPr>
        <w:t>（3）成交单位因其自身原因或不可抗力不能按采购要求签约；</w:t>
      </w:r>
    </w:p>
    <w:p>
      <w:pPr>
        <w:widowControl/>
        <w:snapToGrid w:val="0"/>
        <w:spacing w:line="300" w:lineRule="auto"/>
        <w:rPr>
          <w:rFonts w:hint="eastAsia" w:ascii="宋体" w:hAnsi="宋体" w:eastAsia="宋体" w:cs="宋体"/>
          <w:color w:val="auto"/>
          <w:highlight w:val="none"/>
        </w:rPr>
      </w:pPr>
      <w:r>
        <w:rPr>
          <w:rFonts w:hint="eastAsia" w:ascii="宋体" w:hAnsi="宋体" w:eastAsia="宋体" w:cs="宋体"/>
          <w:color w:val="auto"/>
          <w:kern w:val="0"/>
          <w:sz w:val="24"/>
          <w:highlight w:val="none"/>
        </w:rPr>
        <w:t>（4）成交单位不按照磋商文件要求支付采购代理服务费；</w:t>
      </w:r>
    </w:p>
    <w:p>
      <w:pPr>
        <w:widowControl/>
        <w:snapToGrid w:val="0"/>
        <w:spacing w:line="300" w:lineRule="auto"/>
        <w:rPr>
          <w:rFonts w:hint="eastAsia" w:ascii="宋体" w:hAnsi="宋体" w:eastAsia="宋体" w:cs="宋体"/>
          <w:color w:val="auto"/>
          <w:highlight w:val="none"/>
        </w:rPr>
      </w:pPr>
      <w:r>
        <w:rPr>
          <w:rFonts w:hint="eastAsia" w:ascii="宋体" w:hAnsi="宋体" w:eastAsia="宋体" w:cs="宋体"/>
          <w:color w:val="auto"/>
          <w:kern w:val="0"/>
          <w:sz w:val="24"/>
          <w:highlight w:val="none"/>
        </w:rPr>
        <w:t>（5）成交单位不能按磋商文件或合同要求按期递交履约保证金（若要求）；</w:t>
      </w:r>
    </w:p>
    <w:p>
      <w:pPr>
        <w:widowControl/>
        <w:snapToGrid w:val="0"/>
        <w:spacing w:line="300" w:lineRule="auto"/>
        <w:rPr>
          <w:rFonts w:hint="eastAsia" w:ascii="宋体" w:hAnsi="宋体" w:eastAsia="宋体" w:cs="宋体"/>
          <w:color w:val="auto"/>
          <w:highlight w:val="none"/>
        </w:rPr>
      </w:pPr>
      <w:r>
        <w:rPr>
          <w:rFonts w:hint="eastAsia" w:ascii="宋体" w:hAnsi="宋体" w:eastAsia="宋体" w:cs="宋体"/>
          <w:color w:val="auto"/>
          <w:kern w:val="0"/>
          <w:sz w:val="24"/>
          <w:highlight w:val="none"/>
        </w:rPr>
        <w:t>（6）成交单位因其自身原因或不可抗力不能按合同要求履约。</w:t>
      </w:r>
      <w:bookmarkStart w:id="611" w:name="_Toc191744980"/>
      <w:bookmarkEnd w:id="611"/>
      <w:bookmarkStart w:id="612" w:name="_Toc187472359"/>
      <w:bookmarkEnd w:id="612"/>
      <w:bookmarkStart w:id="613" w:name="_Toc183524992"/>
      <w:bookmarkEnd w:id="613"/>
      <w:bookmarkStart w:id="614" w:name="_Toc187672050"/>
      <w:bookmarkEnd w:id="614"/>
      <w:bookmarkStart w:id="615" w:name="_Toc180073608"/>
      <w:bookmarkEnd w:id="615"/>
      <w:bookmarkStart w:id="616" w:name="_Toc187472159"/>
      <w:bookmarkEnd w:id="616"/>
      <w:bookmarkStart w:id="617" w:name="_Toc187472233"/>
      <w:bookmarkEnd w:id="617"/>
      <w:bookmarkStart w:id="618" w:name="_Toc183568609"/>
      <w:bookmarkEnd w:id="618"/>
    </w:p>
    <w:p>
      <w:pPr>
        <w:pStyle w:val="91"/>
        <w:spacing w:line="300" w:lineRule="auto"/>
        <w:rPr>
          <w:rFonts w:hint="eastAsia" w:ascii="宋体" w:hAnsi="宋体" w:eastAsia="宋体" w:cs="宋体"/>
          <w:color w:val="auto"/>
          <w:sz w:val="24"/>
          <w:highlight w:val="none"/>
        </w:rPr>
      </w:pPr>
    </w:p>
    <w:p>
      <w:pPr>
        <w:pStyle w:val="6"/>
        <w:snapToGrid w:val="0"/>
        <w:spacing w:before="0" w:after="0" w:line="300" w:lineRule="auto"/>
        <w:rPr>
          <w:rFonts w:hint="eastAsia" w:ascii="宋体" w:hAnsi="宋体" w:eastAsia="宋体" w:cs="宋体"/>
          <w:color w:val="auto"/>
          <w:highlight w:val="none"/>
        </w:rPr>
      </w:pPr>
      <w:bookmarkStart w:id="619" w:name="_Toc187672053"/>
      <w:bookmarkStart w:id="620" w:name="_Toc183524995"/>
      <w:bookmarkStart w:id="621" w:name="_Toc276043904"/>
      <w:bookmarkStart w:id="622" w:name="_Toc180073611"/>
      <w:bookmarkStart w:id="623" w:name="_Toc187472362"/>
      <w:bookmarkStart w:id="624" w:name="_Toc183568612"/>
      <w:bookmarkStart w:id="625" w:name="_Toc250381479"/>
      <w:bookmarkStart w:id="626" w:name="_Toc352357966"/>
      <w:bookmarkStart w:id="627" w:name="_Toc187472236"/>
      <w:bookmarkStart w:id="628" w:name="_Toc187472162"/>
      <w:bookmarkStart w:id="629" w:name="_Toc191744983"/>
      <w:bookmarkStart w:id="630" w:name="_Toc374966521"/>
      <w:r>
        <w:rPr>
          <w:rFonts w:hint="eastAsia" w:ascii="宋体" w:hAnsi="宋体" w:eastAsia="宋体" w:cs="宋体"/>
          <w:color w:val="auto"/>
          <w:highlight w:val="none"/>
        </w:rPr>
        <w:t xml:space="preserve">25. </w:t>
      </w:r>
      <w:bookmarkEnd w:id="619"/>
      <w:bookmarkEnd w:id="620"/>
      <w:bookmarkEnd w:id="621"/>
      <w:bookmarkEnd w:id="622"/>
      <w:bookmarkEnd w:id="623"/>
      <w:bookmarkEnd w:id="624"/>
      <w:bookmarkEnd w:id="625"/>
      <w:bookmarkEnd w:id="626"/>
      <w:bookmarkEnd w:id="627"/>
      <w:bookmarkEnd w:id="628"/>
      <w:bookmarkEnd w:id="629"/>
      <w:r>
        <w:rPr>
          <w:rFonts w:hint="eastAsia" w:ascii="宋体" w:hAnsi="宋体" w:eastAsia="宋体" w:cs="宋体"/>
          <w:color w:val="auto"/>
          <w:highlight w:val="none"/>
        </w:rPr>
        <w:t>成交通知书及</w:t>
      </w:r>
      <w:bookmarkEnd w:id="630"/>
      <w:r>
        <w:rPr>
          <w:rFonts w:hint="eastAsia" w:ascii="宋体" w:hAnsi="宋体" w:eastAsia="宋体" w:cs="宋体"/>
          <w:color w:val="auto"/>
          <w:highlight w:val="none"/>
        </w:rPr>
        <w:t>采购代理服务费</w:t>
      </w:r>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25.1在采购人确认磋商结果后，采购代理机构向成交单位发出成交通知书；并通知未成交单位评审结果，但不做未成交原因的解释。</w:t>
      </w:r>
    </w:p>
    <w:p>
      <w:pPr>
        <w:pStyle w:val="91"/>
        <w:spacing w:line="300" w:lineRule="auto"/>
        <w:rPr>
          <w:rFonts w:hint="eastAsia" w:ascii="宋体" w:hAnsi="宋体" w:eastAsia="宋体" w:cs="宋体"/>
          <w:color w:val="auto"/>
          <w:sz w:val="24"/>
          <w:highlight w:val="none"/>
        </w:rPr>
      </w:pPr>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25.2</w:t>
      </w:r>
      <w:bookmarkStart w:id="631" w:name="_Toc187472163"/>
      <w:bookmarkStart w:id="632" w:name="_Toc183568613"/>
      <w:bookmarkStart w:id="633" w:name="_Toc187472363"/>
      <w:bookmarkStart w:id="634" w:name="_Toc187672054"/>
      <w:bookmarkStart w:id="635" w:name="_Toc180073612"/>
      <w:bookmarkStart w:id="636" w:name="_Toc183524996"/>
      <w:bookmarkStart w:id="637" w:name="_Toc187472237"/>
      <w:bookmarkStart w:id="638" w:name="_Toc191744984"/>
      <w:r>
        <w:rPr>
          <w:rFonts w:hint="eastAsia" w:ascii="宋体" w:hAnsi="宋体" w:eastAsia="宋体" w:cs="宋体"/>
          <w:color w:val="auto"/>
          <w:sz w:val="24"/>
          <w:highlight w:val="none"/>
        </w:rPr>
        <w:t>发出成交通知书后,采购代理机构将在5个工作日内按照</w:t>
      </w:r>
      <w:r>
        <w:rPr>
          <w:rFonts w:hint="eastAsia" w:ascii="宋体" w:hAnsi="宋体" w:eastAsia="宋体" w:cs="宋体"/>
          <w:b/>
          <w:color w:val="auto"/>
          <w:sz w:val="24"/>
          <w:highlight w:val="none"/>
        </w:rPr>
        <w:t>供应商须知资料表25.2款</w:t>
      </w:r>
      <w:r>
        <w:rPr>
          <w:rFonts w:hint="eastAsia" w:ascii="宋体" w:hAnsi="宋体" w:eastAsia="宋体" w:cs="宋体"/>
          <w:color w:val="auto"/>
          <w:sz w:val="24"/>
          <w:highlight w:val="none"/>
        </w:rPr>
        <w:t>的规定向成交单位收取采购代理服务费。若成交单位不能在收到成交通知书后5个工作日内按磋商文件的规定支付采购代理服务费，采购代理机构有权取消成交单位的成交资格并没收其保证金。采购代理机构可从保证金中扣除采购代理服务费。</w:t>
      </w:r>
    </w:p>
    <w:p>
      <w:pPr>
        <w:pStyle w:val="6"/>
        <w:snapToGrid w:val="0"/>
        <w:spacing w:line="300" w:lineRule="auto"/>
        <w:rPr>
          <w:rFonts w:hint="eastAsia" w:ascii="宋体" w:hAnsi="宋体" w:eastAsia="宋体" w:cs="宋体"/>
          <w:color w:val="auto"/>
          <w:highlight w:val="none"/>
        </w:rPr>
      </w:pPr>
      <w:bookmarkStart w:id="639" w:name="_Toc9928"/>
      <w:bookmarkStart w:id="640" w:name="_Toc24688"/>
      <w:bookmarkStart w:id="641" w:name="_Toc9660"/>
      <w:r>
        <w:rPr>
          <w:rFonts w:hint="eastAsia" w:ascii="宋体" w:hAnsi="宋体" w:eastAsia="宋体" w:cs="宋体"/>
          <w:color w:val="auto"/>
          <w:highlight w:val="none"/>
        </w:rPr>
        <w:t>26.质疑函格式及递交</w:t>
      </w:r>
      <w:bookmarkEnd w:id="639"/>
      <w:bookmarkEnd w:id="640"/>
      <w:bookmarkEnd w:id="641"/>
    </w:p>
    <w:p>
      <w:pPr>
        <w:pStyle w:val="68"/>
        <w:shd w:val="clear" w:color="auto" w:fill="FFFFFF"/>
        <w:snapToGrid w:val="0"/>
        <w:spacing w:line="300" w:lineRule="auto"/>
        <w:rPr>
          <w:rFonts w:hint="eastAsia" w:ascii="宋体" w:hAnsi="宋体" w:eastAsia="宋体" w:cs="宋体"/>
          <w:color w:val="auto"/>
          <w:highlight w:val="none"/>
        </w:rPr>
      </w:pPr>
      <w:r>
        <w:rPr>
          <w:rFonts w:hint="eastAsia" w:ascii="宋体" w:hAnsi="宋体" w:eastAsia="宋体" w:cs="宋体"/>
          <w:color w:val="auto"/>
          <w:szCs w:val="24"/>
          <w:highlight w:val="none"/>
          <w:shd w:val="clear" w:color="auto" w:fill="FFFFFF"/>
        </w:rPr>
        <w:t>26.1质疑函递交方式为现场递交。响应单位应将有法律效力的质疑函原件以纸质方式在法定时间内递交到代理机构地址。接收质疑函的采购代理机构联系部门、联系电话和通讯地址等信息详见竞争性磋商文件第一章中的“</w:t>
      </w:r>
      <w:r>
        <w:rPr>
          <w:rFonts w:hint="eastAsia" w:ascii="宋体" w:hAnsi="宋体" w:eastAsia="宋体" w:cs="宋体"/>
          <w:color w:val="auto"/>
          <w:highlight w:val="none"/>
        </w:rPr>
        <w:t>代理机构联系方式</w:t>
      </w:r>
      <w:r>
        <w:rPr>
          <w:rFonts w:hint="eastAsia" w:ascii="宋体" w:hAnsi="宋体" w:eastAsia="宋体" w:cs="宋体"/>
          <w:color w:val="auto"/>
          <w:szCs w:val="24"/>
          <w:highlight w:val="none"/>
          <w:shd w:val="clear" w:color="auto" w:fill="FFFFFF"/>
        </w:rPr>
        <w:t>”。</w:t>
      </w:r>
    </w:p>
    <w:p>
      <w:pPr>
        <w:snapToGrid w:val="0"/>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 xml:space="preserve">26.2质疑函应符合如下格式。 </w:t>
      </w:r>
    </w:p>
    <w:p>
      <w:pPr>
        <w:jc w:val="center"/>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t>质疑函（范本）</w:t>
      </w:r>
    </w:p>
    <w:p>
      <w:pPr>
        <w:snapToGrid w:val="0"/>
        <w:rPr>
          <w:rFonts w:hint="eastAsia" w:ascii="宋体" w:hAnsi="宋体" w:eastAsia="宋体" w:cs="宋体"/>
          <w:color w:val="auto"/>
          <w:highlight w:val="none"/>
        </w:rPr>
      </w:pPr>
      <w:r>
        <w:rPr>
          <w:rFonts w:hint="eastAsia" w:ascii="宋体" w:hAnsi="宋体" w:eastAsia="宋体" w:cs="宋体"/>
          <w:bCs/>
          <w:color w:val="auto"/>
          <w:sz w:val="24"/>
          <w:szCs w:val="24"/>
          <w:highlight w:val="none"/>
        </w:rPr>
        <w:t>一、质疑供应商基本信息</w:t>
      </w:r>
    </w:p>
    <w:p>
      <w:pPr>
        <w:snapToGrid w:val="0"/>
        <w:rPr>
          <w:rFonts w:hint="eastAsia" w:ascii="宋体" w:hAnsi="宋体" w:eastAsia="宋体" w:cs="宋体"/>
          <w:color w:val="auto"/>
          <w:highlight w:val="none"/>
        </w:rPr>
      </w:pPr>
      <w:r>
        <w:rPr>
          <w:rFonts w:hint="eastAsia" w:ascii="宋体" w:hAnsi="宋体" w:eastAsia="宋体" w:cs="宋体"/>
          <w:color w:val="auto"/>
          <w:sz w:val="24"/>
          <w:szCs w:val="24"/>
          <w:highlight w:val="none"/>
        </w:rPr>
        <w:t>质疑供应商：</w:t>
      </w:r>
    </w:p>
    <w:p>
      <w:pPr>
        <w:snapToGrid w:val="0"/>
        <w:rPr>
          <w:rFonts w:hint="eastAsia" w:ascii="宋体" w:hAnsi="宋体" w:eastAsia="宋体" w:cs="宋体"/>
          <w:color w:val="auto"/>
          <w:highlight w:val="none"/>
        </w:rPr>
      </w:pPr>
      <w:r>
        <w:rPr>
          <w:rFonts w:hint="eastAsia" w:ascii="宋体" w:hAnsi="宋体" w:eastAsia="宋体" w:cs="宋体"/>
          <w:color w:val="auto"/>
          <w:sz w:val="24"/>
          <w:szCs w:val="24"/>
          <w:highlight w:val="none"/>
        </w:rPr>
        <w:t>地址：邮编：</w:t>
      </w:r>
    </w:p>
    <w:p>
      <w:pPr>
        <w:snapToGrid w:val="0"/>
        <w:rPr>
          <w:rFonts w:hint="eastAsia" w:ascii="宋体" w:hAnsi="宋体" w:eastAsia="宋体" w:cs="宋体"/>
          <w:color w:val="auto"/>
          <w:highlight w:val="none"/>
        </w:rPr>
      </w:pPr>
      <w:r>
        <w:rPr>
          <w:rFonts w:hint="eastAsia" w:ascii="宋体" w:hAnsi="宋体" w:eastAsia="宋体" w:cs="宋体"/>
          <w:color w:val="auto"/>
          <w:sz w:val="24"/>
          <w:szCs w:val="24"/>
          <w:highlight w:val="none"/>
        </w:rPr>
        <w:t>联系人：联系电话：</w:t>
      </w:r>
    </w:p>
    <w:p>
      <w:pPr>
        <w:snapToGrid w:val="0"/>
        <w:rPr>
          <w:rFonts w:hint="eastAsia" w:ascii="宋体" w:hAnsi="宋体" w:eastAsia="宋体" w:cs="宋体"/>
          <w:color w:val="auto"/>
          <w:highlight w:val="none"/>
        </w:rPr>
      </w:pPr>
      <w:r>
        <w:rPr>
          <w:rFonts w:hint="eastAsia" w:ascii="宋体" w:hAnsi="宋体" w:eastAsia="宋体" w:cs="宋体"/>
          <w:color w:val="auto"/>
          <w:sz w:val="24"/>
          <w:szCs w:val="24"/>
          <w:highlight w:val="none"/>
        </w:rPr>
        <w:t>授权代表：</w:t>
      </w:r>
    </w:p>
    <w:p>
      <w:pPr>
        <w:snapToGrid w:val="0"/>
        <w:rPr>
          <w:rFonts w:hint="eastAsia" w:ascii="宋体" w:hAnsi="宋体" w:eastAsia="宋体" w:cs="宋体"/>
          <w:color w:val="auto"/>
          <w:highlight w:val="none"/>
        </w:rPr>
      </w:pPr>
      <w:r>
        <w:rPr>
          <w:rFonts w:hint="eastAsia" w:ascii="宋体" w:hAnsi="宋体" w:eastAsia="宋体" w:cs="宋体"/>
          <w:color w:val="auto"/>
          <w:sz w:val="24"/>
          <w:szCs w:val="24"/>
          <w:highlight w:val="none"/>
        </w:rPr>
        <w:t>联系电话：</w:t>
      </w:r>
    </w:p>
    <w:p>
      <w:pPr>
        <w:snapToGrid w:val="0"/>
        <w:rPr>
          <w:rFonts w:hint="eastAsia" w:ascii="宋体" w:hAnsi="宋体" w:eastAsia="宋体" w:cs="宋体"/>
          <w:color w:val="auto"/>
          <w:highlight w:val="none"/>
        </w:rPr>
      </w:pPr>
      <w:r>
        <w:rPr>
          <w:rFonts w:hint="eastAsia" w:ascii="宋体" w:hAnsi="宋体" w:eastAsia="宋体" w:cs="宋体"/>
          <w:color w:val="auto"/>
          <w:sz w:val="24"/>
          <w:szCs w:val="24"/>
          <w:highlight w:val="none"/>
        </w:rPr>
        <w:t>地址： 邮编：</w:t>
      </w:r>
    </w:p>
    <w:p>
      <w:pPr>
        <w:snapToGrid w:val="0"/>
        <w:rPr>
          <w:rFonts w:hint="eastAsia" w:ascii="宋体" w:hAnsi="宋体" w:eastAsia="宋体" w:cs="宋体"/>
          <w:color w:val="auto"/>
          <w:highlight w:val="none"/>
        </w:rPr>
      </w:pPr>
      <w:r>
        <w:rPr>
          <w:rFonts w:hint="eastAsia" w:ascii="宋体" w:hAnsi="宋体" w:eastAsia="宋体" w:cs="宋体"/>
          <w:bCs/>
          <w:color w:val="auto"/>
          <w:sz w:val="24"/>
          <w:szCs w:val="24"/>
          <w:highlight w:val="none"/>
        </w:rPr>
        <w:t>二、质疑项目基本情况</w:t>
      </w:r>
    </w:p>
    <w:p>
      <w:pPr>
        <w:snapToGrid w:val="0"/>
        <w:rPr>
          <w:rFonts w:hint="eastAsia" w:ascii="宋体" w:hAnsi="宋体" w:eastAsia="宋体" w:cs="宋体"/>
          <w:color w:val="auto"/>
          <w:highlight w:val="none"/>
        </w:rPr>
      </w:pPr>
      <w:r>
        <w:rPr>
          <w:rFonts w:hint="eastAsia" w:ascii="宋体" w:hAnsi="宋体" w:eastAsia="宋体" w:cs="宋体"/>
          <w:color w:val="auto"/>
          <w:sz w:val="24"/>
          <w:szCs w:val="24"/>
          <w:highlight w:val="none"/>
        </w:rPr>
        <w:t>质疑项目的名称：</w:t>
      </w:r>
    </w:p>
    <w:p>
      <w:pPr>
        <w:snapToGrid w:val="0"/>
        <w:rPr>
          <w:rFonts w:hint="eastAsia" w:ascii="宋体" w:hAnsi="宋体" w:eastAsia="宋体" w:cs="宋体"/>
          <w:color w:val="auto"/>
          <w:highlight w:val="none"/>
        </w:rPr>
      </w:pPr>
      <w:r>
        <w:rPr>
          <w:rFonts w:hint="eastAsia" w:ascii="宋体" w:hAnsi="宋体" w:eastAsia="宋体" w:cs="宋体"/>
          <w:color w:val="auto"/>
          <w:sz w:val="24"/>
          <w:szCs w:val="24"/>
          <w:highlight w:val="none"/>
        </w:rPr>
        <w:t>质疑项目的编号：包号：</w:t>
      </w:r>
    </w:p>
    <w:p>
      <w:pPr>
        <w:snapToGrid w:val="0"/>
        <w:rPr>
          <w:rFonts w:hint="eastAsia" w:ascii="宋体" w:hAnsi="宋体" w:eastAsia="宋体" w:cs="宋体"/>
          <w:color w:val="auto"/>
          <w:highlight w:val="none"/>
        </w:rPr>
      </w:pPr>
      <w:r>
        <w:rPr>
          <w:rFonts w:hint="eastAsia" w:ascii="宋体" w:hAnsi="宋体" w:eastAsia="宋体" w:cs="宋体"/>
          <w:color w:val="auto"/>
          <w:sz w:val="24"/>
          <w:szCs w:val="24"/>
          <w:highlight w:val="none"/>
        </w:rPr>
        <w:t>采购人名称：</w:t>
      </w:r>
    </w:p>
    <w:p>
      <w:pPr>
        <w:snapToGrid w:val="0"/>
        <w:rPr>
          <w:rFonts w:hint="eastAsia" w:ascii="宋体" w:hAnsi="宋体" w:eastAsia="宋体" w:cs="宋体"/>
          <w:color w:val="auto"/>
          <w:highlight w:val="none"/>
        </w:rPr>
      </w:pPr>
      <w:r>
        <w:rPr>
          <w:rFonts w:hint="eastAsia" w:ascii="宋体" w:hAnsi="宋体" w:eastAsia="宋体" w:cs="宋体"/>
          <w:color w:val="auto"/>
          <w:sz w:val="24"/>
          <w:szCs w:val="24"/>
          <w:highlight w:val="none"/>
        </w:rPr>
        <w:t>采购文件获取日期：</w:t>
      </w:r>
    </w:p>
    <w:p>
      <w:pPr>
        <w:snapToGrid w:val="0"/>
        <w:rPr>
          <w:rFonts w:hint="eastAsia" w:ascii="宋体" w:hAnsi="宋体" w:eastAsia="宋体" w:cs="宋体"/>
          <w:color w:val="auto"/>
          <w:highlight w:val="none"/>
        </w:rPr>
      </w:pPr>
      <w:r>
        <w:rPr>
          <w:rFonts w:hint="eastAsia" w:ascii="宋体" w:hAnsi="宋体" w:eastAsia="宋体" w:cs="宋体"/>
          <w:bCs/>
          <w:color w:val="auto"/>
          <w:sz w:val="24"/>
          <w:szCs w:val="24"/>
          <w:highlight w:val="none"/>
        </w:rPr>
        <w:t>三、质疑事项具体内容</w:t>
      </w:r>
    </w:p>
    <w:p>
      <w:pPr>
        <w:snapToGrid w:val="0"/>
        <w:rPr>
          <w:rFonts w:hint="eastAsia" w:ascii="宋体" w:hAnsi="宋体" w:eastAsia="宋体" w:cs="宋体"/>
          <w:color w:val="auto"/>
          <w:highlight w:val="none"/>
        </w:rPr>
      </w:pPr>
      <w:r>
        <w:rPr>
          <w:rFonts w:hint="eastAsia" w:ascii="宋体" w:hAnsi="宋体" w:eastAsia="宋体" w:cs="宋体"/>
          <w:color w:val="auto"/>
          <w:sz w:val="24"/>
          <w:szCs w:val="24"/>
          <w:highlight w:val="none"/>
        </w:rPr>
        <w:t>质疑事项1：</w:t>
      </w:r>
    </w:p>
    <w:p>
      <w:pPr>
        <w:snapToGrid w:val="0"/>
        <w:rPr>
          <w:rFonts w:hint="eastAsia" w:ascii="宋体" w:hAnsi="宋体" w:eastAsia="宋体" w:cs="宋体"/>
          <w:color w:val="auto"/>
          <w:highlight w:val="none"/>
        </w:rPr>
      </w:pPr>
      <w:r>
        <w:rPr>
          <w:rFonts w:hint="eastAsia" w:ascii="宋体" w:hAnsi="宋体" w:eastAsia="宋体" w:cs="宋体"/>
          <w:color w:val="auto"/>
          <w:sz w:val="24"/>
          <w:szCs w:val="24"/>
          <w:highlight w:val="none"/>
        </w:rPr>
        <w:t>事实依据：</w:t>
      </w:r>
    </w:p>
    <w:p>
      <w:pPr>
        <w:snapToGrid w:val="0"/>
        <w:rPr>
          <w:rFonts w:hint="eastAsia" w:ascii="宋体" w:hAnsi="宋体" w:eastAsia="宋体" w:cs="宋体"/>
          <w:color w:val="auto"/>
          <w:highlight w:val="none"/>
        </w:rPr>
      </w:pPr>
      <w:r>
        <w:rPr>
          <w:rFonts w:hint="eastAsia" w:ascii="宋体" w:hAnsi="宋体" w:eastAsia="宋体" w:cs="宋体"/>
          <w:color w:val="auto"/>
          <w:sz w:val="24"/>
          <w:szCs w:val="24"/>
          <w:highlight w:val="none"/>
        </w:rPr>
        <w:t>法律依据：</w:t>
      </w:r>
    </w:p>
    <w:p>
      <w:pPr>
        <w:snapToGrid w:val="0"/>
        <w:rPr>
          <w:rFonts w:hint="eastAsia" w:ascii="宋体" w:hAnsi="宋体" w:eastAsia="宋体" w:cs="宋体"/>
          <w:color w:val="auto"/>
          <w:highlight w:val="none"/>
        </w:rPr>
      </w:pPr>
      <w:r>
        <w:rPr>
          <w:rFonts w:hint="eastAsia" w:ascii="宋体" w:hAnsi="宋体" w:eastAsia="宋体" w:cs="宋体"/>
          <w:color w:val="auto"/>
          <w:sz w:val="24"/>
          <w:szCs w:val="24"/>
          <w:highlight w:val="none"/>
        </w:rPr>
        <w:t>质疑事项2</w:t>
      </w:r>
    </w:p>
    <w:p>
      <w:pPr>
        <w:snapToGrid w:val="0"/>
        <w:rPr>
          <w:rFonts w:hint="eastAsia" w:ascii="宋体" w:hAnsi="宋体" w:eastAsia="宋体" w:cs="宋体"/>
          <w:color w:val="auto"/>
          <w:highlight w:val="none"/>
        </w:rPr>
      </w:pPr>
      <w:r>
        <w:rPr>
          <w:rFonts w:hint="eastAsia" w:ascii="宋体" w:hAnsi="宋体" w:eastAsia="宋体" w:cs="宋体"/>
          <w:color w:val="auto"/>
          <w:sz w:val="24"/>
          <w:szCs w:val="24"/>
          <w:highlight w:val="none"/>
        </w:rPr>
        <w:t>……</w:t>
      </w:r>
    </w:p>
    <w:p>
      <w:pPr>
        <w:snapToGrid w:val="0"/>
        <w:rPr>
          <w:rFonts w:hint="eastAsia" w:ascii="宋体" w:hAnsi="宋体" w:eastAsia="宋体" w:cs="宋体"/>
          <w:color w:val="auto"/>
          <w:highlight w:val="none"/>
        </w:rPr>
      </w:pPr>
      <w:r>
        <w:rPr>
          <w:rFonts w:hint="eastAsia" w:ascii="宋体" w:hAnsi="宋体" w:eastAsia="宋体" w:cs="宋体"/>
          <w:bCs/>
          <w:color w:val="auto"/>
          <w:sz w:val="24"/>
          <w:szCs w:val="24"/>
          <w:highlight w:val="none"/>
        </w:rPr>
        <w:t>四、与质疑事项相关的质疑请求</w:t>
      </w:r>
    </w:p>
    <w:p>
      <w:pPr>
        <w:snapToGrid w:val="0"/>
        <w:rPr>
          <w:rFonts w:hint="eastAsia" w:ascii="宋体" w:hAnsi="宋体" w:eastAsia="宋体" w:cs="宋体"/>
          <w:color w:val="auto"/>
          <w:highlight w:val="none"/>
        </w:rPr>
      </w:pPr>
      <w:r>
        <w:rPr>
          <w:rFonts w:hint="eastAsia" w:ascii="宋体" w:hAnsi="宋体" w:eastAsia="宋体" w:cs="宋体"/>
          <w:color w:val="auto"/>
          <w:sz w:val="24"/>
          <w:szCs w:val="24"/>
          <w:highlight w:val="none"/>
        </w:rPr>
        <w:t>请求：</w:t>
      </w:r>
    </w:p>
    <w:p>
      <w:pPr>
        <w:snapToGrid w:val="0"/>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签字(签章)：                   公章：                      </w:t>
      </w:r>
    </w:p>
    <w:p>
      <w:pPr>
        <w:snapToGrid w:val="0"/>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日期：    </w:t>
      </w:r>
    </w:p>
    <w:p>
      <w:pPr>
        <w:snapToGrid w:val="0"/>
        <w:jc w:val="center"/>
        <w:rPr>
          <w:rFonts w:hint="eastAsia" w:ascii="宋体" w:hAnsi="宋体" w:eastAsia="宋体" w:cs="宋体"/>
          <w:b/>
          <w:bCs/>
          <w:color w:val="auto"/>
          <w:sz w:val="24"/>
          <w:szCs w:val="24"/>
          <w:highlight w:val="none"/>
        </w:rPr>
      </w:pPr>
    </w:p>
    <w:p>
      <w:pPr>
        <w:snapToGrid w:val="0"/>
        <w:rPr>
          <w:rFonts w:hint="eastAsia" w:ascii="宋体" w:hAnsi="宋体" w:eastAsia="宋体" w:cs="宋体"/>
          <w:color w:val="auto"/>
          <w:highlight w:val="none"/>
        </w:rPr>
      </w:pPr>
      <w:r>
        <w:rPr>
          <w:rFonts w:hint="eastAsia" w:ascii="宋体" w:hAnsi="宋体" w:eastAsia="宋体" w:cs="宋体"/>
          <w:b/>
          <w:color w:val="auto"/>
          <w:sz w:val="24"/>
          <w:szCs w:val="24"/>
          <w:highlight w:val="none"/>
        </w:rPr>
        <w:t>质疑函制作说明：</w:t>
      </w:r>
    </w:p>
    <w:p>
      <w:pPr>
        <w:widowControl/>
        <w:adjustRightInd w:val="0"/>
        <w:snapToGrid w:val="0"/>
        <w:spacing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pPr>
        <w:widowControl/>
        <w:adjustRightInd w:val="0"/>
        <w:snapToGrid w:val="0"/>
        <w:spacing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adjustRightInd w:val="0"/>
        <w:snapToGrid w:val="0"/>
        <w:spacing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pPr>
        <w:widowControl/>
        <w:adjustRightInd w:val="0"/>
        <w:snapToGrid w:val="0"/>
        <w:spacing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pPr>
        <w:widowControl/>
        <w:adjustRightInd w:val="0"/>
        <w:snapToGrid w:val="0"/>
        <w:spacing w:line="30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pPr>
        <w:widowControl/>
        <w:adjustRightInd w:val="0"/>
        <w:snapToGrid w:val="0"/>
        <w:spacing w:line="300" w:lineRule="auto"/>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pPr>
        <w:pStyle w:val="91"/>
        <w:spacing w:line="300" w:lineRule="auto"/>
        <w:rPr>
          <w:rFonts w:hint="eastAsia" w:ascii="宋体" w:hAnsi="宋体" w:eastAsia="宋体" w:cs="宋体"/>
          <w:color w:val="auto"/>
          <w:sz w:val="24"/>
          <w:highlight w:val="none"/>
        </w:rPr>
      </w:pPr>
    </w:p>
    <w:p>
      <w:pPr>
        <w:pStyle w:val="6"/>
        <w:snapToGrid w:val="0"/>
        <w:spacing w:before="0" w:after="0" w:line="300" w:lineRule="auto"/>
        <w:rPr>
          <w:rFonts w:hint="eastAsia" w:ascii="宋体" w:hAnsi="宋体" w:eastAsia="宋体" w:cs="宋体"/>
          <w:color w:val="auto"/>
          <w:highlight w:val="none"/>
        </w:rPr>
      </w:pPr>
      <w:bookmarkStart w:id="642" w:name="_Toc276043905"/>
      <w:bookmarkStart w:id="643" w:name="_Toc352357967"/>
      <w:bookmarkStart w:id="644" w:name="_Toc374966522"/>
      <w:bookmarkStart w:id="645" w:name="_Toc250381480"/>
      <w:r>
        <w:rPr>
          <w:rFonts w:hint="eastAsia" w:ascii="宋体" w:hAnsi="宋体" w:eastAsia="宋体" w:cs="宋体"/>
          <w:color w:val="auto"/>
          <w:highlight w:val="none"/>
        </w:rPr>
        <w:t>27. 签订合同</w:t>
      </w:r>
      <w:bookmarkEnd w:id="631"/>
      <w:bookmarkEnd w:id="632"/>
      <w:bookmarkEnd w:id="633"/>
      <w:bookmarkEnd w:id="634"/>
      <w:bookmarkEnd w:id="635"/>
      <w:bookmarkEnd w:id="636"/>
      <w:bookmarkEnd w:id="637"/>
      <w:bookmarkEnd w:id="638"/>
      <w:bookmarkEnd w:id="642"/>
      <w:bookmarkEnd w:id="643"/>
      <w:bookmarkEnd w:id="644"/>
      <w:bookmarkEnd w:id="645"/>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27.1 成交供应商应当与采购人在成交通知书发出之日起30日内，按照磋商文件、响应文件、澄清文件和相关承诺等签订政府采购合同。若因供应商原因不能签订采购合同，采购代理机构和采购人有权取消其成交资格并没收其保证金，并按评审时的排序选择下一名候选人为成交单位，也可另行组织采购。在此情况下，拒绝签订采购合同的成交供应商不得参加对该项目重新开展的采购活动。</w:t>
      </w:r>
    </w:p>
    <w:p>
      <w:pPr>
        <w:pStyle w:val="6"/>
        <w:snapToGrid w:val="0"/>
        <w:spacing w:before="0" w:after="0" w:line="300" w:lineRule="auto"/>
        <w:rPr>
          <w:rFonts w:hint="eastAsia" w:ascii="宋体" w:hAnsi="宋体" w:eastAsia="宋体" w:cs="宋体"/>
          <w:color w:val="auto"/>
          <w:highlight w:val="none"/>
        </w:rPr>
      </w:pPr>
      <w:bookmarkStart w:id="646" w:name="_Toc187672055"/>
      <w:bookmarkStart w:id="647" w:name="_Toc187472164"/>
      <w:bookmarkStart w:id="648" w:name="_Toc374966523"/>
      <w:bookmarkStart w:id="649" w:name="_Toc183524997"/>
      <w:bookmarkStart w:id="650" w:name="_Toc187472364"/>
      <w:bookmarkStart w:id="651" w:name="_Toc191744985"/>
      <w:bookmarkStart w:id="652" w:name="_Toc352357969"/>
      <w:bookmarkStart w:id="653" w:name="_Toc276043907"/>
      <w:bookmarkStart w:id="654" w:name="_Toc187472238"/>
      <w:bookmarkStart w:id="655" w:name="_Toc250381482"/>
      <w:bookmarkStart w:id="656" w:name="_Toc183568614"/>
      <w:bookmarkStart w:id="657" w:name="_Toc180073613"/>
    </w:p>
    <w:p>
      <w:pPr>
        <w:pStyle w:val="6"/>
        <w:snapToGrid w:val="0"/>
        <w:spacing w:before="0" w:after="0" w:line="300" w:lineRule="auto"/>
        <w:rPr>
          <w:rFonts w:hint="eastAsia" w:ascii="宋体" w:hAnsi="宋体" w:eastAsia="宋体" w:cs="宋体"/>
          <w:color w:val="auto"/>
          <w:highlight w:val="none"/>
        </w:rPr>
      </w:pPr>
      <w:r>
        <w:rPr>
          <w:rFonts w:hint="eastAsia" w:ascii="宋体" w:hAnsi="宋体" w:eastAsia="宋体" w:cs="宋体"/>
          <w:color w:val="auto"/>
          <w:highlight w:val="none"/>
        </w:rPr>
        <w:t>28．保密条款</w:t>
      </w:r>
      <w:bookmarkEnd w:id="646"/>
      <w:bookmarkEnd w:id="647"/>
      <w:bookmarkEnd w:id="648"/>
      <w:bookmarkEnd w:id="649"/>
      <w:bookmarkEnd w:id="650"/>
      <w:bookmarkEnd w:id="651"/>
      <w:bookmarkEnd w:id="652"/>
      <w:bookmarkEnd w:id="653"/>
      <w:bookmarkEnd w:id="654"/>
      <w:bookmarkEnd w:id="655"/>
      <w:bookmarkEnd w:id="656"/>
      <w:bookmarkEnd w:id="657"/>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28.1在未经采购人书面同意的情况下，供应商不得将本项目的非公开资料（包括书面、磁介质资料，下同）透露给第三方。否则，供应商必须承担因此给采购人造成的相关损失。采购人保留追究供应商相关法律责任的权力。</w:t>
      </w:r>
    </w:p>
    <w:p>
      <w:pPr>
        <w:pStyle w:val="91"/>
        <w:spacing w:line="300" w:lineRule="auto"/>
        <w:rPr>
          <w:rFonts w:hint="eastAsia" w:ascii="宋体" w:hAnsi="宋体" w:eastAsia="宋体" w:cs="宋体"/>
          <w:color w:val="auto"/>
          <w:sz w:val="24"/>
          <w:highlight w:val="none"/>
        </w:rPr>
      </w:pPr>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28.2供应商应在对外保密的前提下，对其从事本项目的雇员提供有关情况，所提供的情况仅限于执行本项目必不可少的范围内。</w:t>
      </w:r>
    </w:p>
    <w:p>
      <w:pPr>
        <w:pStyle w:val="91"/>
        <w:spacing w:line="300" w:lineRule="auto"/>
        <w:rPr>
          <w:rFonts w:hint="eastAsia" w:ascii="宋体" w:hAnsi="宋体" w:eastAsia="宋体" w:cs="宋体"/>
          <w:color w:val="auto"/>
          <w:sz w:val="24"/>
          <w:highlight w:val="none"/>
        </w:rPr>
      </w:pPr>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28.3采购代理机构和采购人对供应商提交的文件将给予保密，但不予退还。</w:t>
      </w:r>
    </w:p>
    <w:p>
      <w:pPr>
        <w:pStyle w:val="91"/>
        <w:spacing w:line="300" w:lineRule="auto"/>
        <w:rPr>
          <w:rFonts w:hint="eastAsia" w:ascii="宋体" w:hAnsi="宋体" w:eastAsia="宋体" w:cs="宋体"/>
          <w:color w:val="auto"/>
          <w:sz w:val="24"/>
          <w:highlight w:val="none"/>
        </w:rPr>
      </w:pPr>
    </w:p>
    <w:p>
      <w:pPr>
        <w:pStyle w:val="91"/>
        <w:spacing w:line="300" w:lineRule="auto"/>
        <w:rPr>
          <w:rFonts w:hint="eastAsia" w:ascii="宋体" w:hAnsi="宋体" w:eastAsia="宋体" w:cs="宋体"/>
          <w:color w:val="auto"/>
          <w:highlight w:val="none"/>
        </w:rPr>
      </w:pPr>
      <w:r>
        <w:rPr>
          <w:rFonts w:hint="eastAsia" w:ascii="宋体" w:hAnsi="宋体" w:eastAsia="宋体" w:cs="宋体"/>
          <w:color w:val="auto"/>
          <w:sz w:val="24"/>
          <w:highlight w:val="none"/>
        </w:rPr>
        <w:t>28.4若采购人要求，成交单位应与采购人签订相应的保密协议。</w:t>
      </w:r>
    </w:p>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Pr>
        <w:pStyle w:val="88"/>
        <w:pageBreakBefore/>
        <w:spacing w:line="360" w:lineRule="auto"/>
        <w:rPr>
          <w:rFonts w:hint="eastAsia" w:ascii="宋体" w:hAnsi="宋体" w:eastAsia="宋体" w:cs="宋体"/>
          <w:color w:val="auto"/>
          <w:sz w:val="24"/>
          <w:highlight w:val="none"/>
        </w:rPr>
      </w:pPr>
    </w:p>
    <w:p>
      <w:pPr>
        <w:pStyle w:val="4"/>
        <w:spacing w:line="400" w:lineRule="exact"/>
        <w:ind w:right="12"/>
        <w:jc w:val="center"/>
        <w:rPr>
          <w:rFonts w:hint="eastAsia" w:ascii="宋体" w:hAnsi="宋体" w:eastAsia="宋体" w:cs="宋体"/>
          <w:color w:val="auto"/>
          <w:highlight w:val="none"/>
        </w:rPr>
      </w:pPr>
      <w:bookmarkStart w:id="658" w:name="_Hlt527376393"/>
      <w:bookmarkEnd w:id="658"/>
      <w:bookmarkStart w:id="659" w:name="_Toc374966524"/>
      <w:bookmarkStart w:id="660" w:name="_Toc17766"/>
      <w:bookmarkStart w:id="661" w:name="_Toc29728"/>
      <w:bookmarkStart w:id="662" w:name="_Toc239138583"/>
      <w:bookmarkStart w:id="663" w:name="_Toc352358156"/>
      <w:bookmarkStart w:id="664" w:name="_Toc276043908"/>
      <w:bookmarkStart w:id="665" w:name="_Toc414456729"/>
      <w:bookmarkStart w:id="666" w:name="_Toc7233"/>
      <w:bookmarkStart w:id="667" w:name="_Toc232434662"/>
      <w:bookmarkStart w:id="668" w:name="_Toc210192426"/>
      <w:bookmarkStart w:id="669" w:name="_Toc250381483"/>
      <w:bookmarkStart w:id="670" w:name="_Toc352357970"/>
      <w:bookmarkStart w:id="671" w:name="_Toc377394457"/>
      <w:bookmarkStart w:id="672" w:name="_Toc379571901"/>
      <w:bookmarkStart w:id="673" w:name="_Toc16000"/>
      <w:bookmarkStart w:id="674" w:name="_Toc31898"/>
      <w:bookmarkStart w:id="675" w:name="_Toc12615"/>
      <w:bookmarkStart w:id="676" w:name="_Toc27026"/>
      <w:bookmarkStart w:id="677" w:name="_Toc29570"/>
      <w:bookmarkStart w:id="678" w:name="_Toc16983"/>
      <w:bookmarkStart w:id="679" w:name="_Toc23412"/>
      <w:bookmarkStart w:id="680" w:name="_Toc17222"/>
      <w:r>
        <w:rPr>
          <w:rFonts w:hint="eastAsia" w:ascii="宋体" w:hAnsi="宋体" w:eastAsia="宋体" w:cs="宋体"/>
          <w:color w:val="auto"/>
          <w:sz w:val="36"/>
          <w:highlight w:val="none"/>
        </w:rPr>
        <w:t xml:space="preserve">第三章 </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r>
        <w:rPr>
          <w:rFonts w:hint="eastAsia" w:ascii="宋体" w:hAnsi="宋体" w:eastAsia="宋体" w:cs="宋体"/>
          <w:color w:val="auto"/>
          <w:sz w:val="36"/>
          <w:highlight w:val="none"/>
        </w:rPr>
        <w:t>响应文件格式</w:t>
      </w:r>
      <w:bookmarkEnd w:id="673"/>
      <w:bookmarkEnd w:id="674"/>
      <w:bookmarkEnd w:id="675"/>
      <w:bookmarkEnd w:id="676"/>
      <w:bookmarkEnd w:id="677"/>
      <w:bookmarkEnd w:id="678"/>
      <w:bookmarkEnd w:id="679"/>
      <w:bookmarkEnd w:id="680"/>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jc w:val="center"/>
        <w:rPr>
          <w:rFonts w:hint="eastAsia" w:ascii="宋体" w:hAnsi="宋体" w:eastAsia="宋体" w:cs="宋体"/>
          <w:color w:val="auto"/>
          <w:highlight w:val="none"/>
        </w:rPr>
      </w:pPr>
    </w:p>
    <w:p>
      <w:pPr>
        <w:pStyle w:val="5"/>
        <w:pageBreakBefore/>
        <w:jc w:val="center"/>
        <w:rPr>
          <w:rFonts w:hint="eastAsia" w:ascii="宋体" w:hAnsi="宋体" w:eastAsia="宋体" w:cs="宋体"/>
          <w:color w:val="auto"/>
          <w:highlight w:val="none"/>
        </w:rPr>
      </w:pPr>
      <w:bookmarkStart w:id="681" w:name="_Toc30812"/>
      <w:bookmarkStart w:id="682" w:name="_Toc7660"/>
      <w:bookmarkStart w:id="683" w:name="_Toc30226"/>
      <w:bookmarkStart w:id="684" w:name="_Toc18791"/>
      <w:bookmarkStart w:id="685" w:name="_Toc23366"/>
      <w:bookmarkStart w:id="686" w:name="_Toc29256"/>
      <w:bookmarkStart w:id="687" w:name="_Toc9545"/>
      <w:bookmarkStart w:id="688" w:name="_Toc28933"/>
      <w:bookmarkStart w:id="689" w:name="_Toc25020"/>
      <w:bookmarkStart w:id="690" w:name="_Toc30690"/>
      <w:bookmarkStart w:id="691" w:name="_Toc23092"/>
      <w:r>
        <w:rPr>
          <w:rFonts w:hint="eastAsia" w:ascii="宋体" w:hAnsi="宋体" w:eastAsia="宋体" w:cs="宋体"/>
          <w:color w:val="auto"/>
          <w:highlight w:val="none"/>
        </w:rPr>
        <w:t>第一节 响应文件第一部分--资格</w:t>
      </w:r>
      <w:bookmarkEnd w:id="681"/>
      <w:r>
        <w:rPr>
          <w:rFonts w:hint="eastAsia" w:ascii="宋体" w:hAnsi="宋体" w:eastAsia="宋体" w:cs="宋体"/>
          <w:color w:val="auto"/>
          <w:highlight w:val="none"/>
        </w:rPr>
        <w:t>文件</w:t>
      </w:r>
      <w:bookmarkEnd w:id="682"/>
      <w:bookmarkEnd w:id="683"/>
      <w:bookmarkEnd w:id="684"/>
      <w:bookmarkEnd w:id="685"/>
      <w:bookmarkEnd w:id="686"/>
      <w:bookmarkEnd w:id="687"/>
      <w:bookmarkEnd w:id="688"/>
      <w:bookmarkEnd w:id="689"/>
      <w:bookmarkEnd w:id="690"/>
      <w:bookmarkEnd w:id="691"/>
    </w:p>
    <w:p>
      <w:pPr>
        <w:jc w:val="center"/>
        <w:rPr>
          <w:rFonts w:hint="eastAsia" w:ascii="宋体" w:hAnsi="宋体" w:eastAsia="宋体" w:cs="宋体"/>
          <w:color w:val="auto"/>
          <w:highlight w:val="none"/>
        </w:rPr>
      </w:pPr>
      <w:bookmarkStart w:id="692" w:name="_Toc509111521"/>
      <w:bookmarkStart w:id="693" w:name="_Toc524087285"/>
      <w:bookmarkStart w:id="694" w:name="_Toc516329222"/>
      <w:bookmarkStart w:id="695" w:name="_Toc509111779"/>
      <w:bookmarkStart w:id="696" w:name="_Toc509110768"/>
      <w:bookmarkStart w:id="697" w:name="_Toc509379904"/>
      <w:bookmarkStart w:id="698" w:name="_Toc524089216"/>
      <w:bookmarkStart w:id="699" w:name="_Toc516325286"/>
      <w:bookmarkStart w:id="700" w:name="_Toc352358157"/>
      <w:bookmarkStart w:id="701" w:name="_Toc374966525"/>
      <w:bookmarkStart w:id="702" w:name="_Toc250381484"/>
      <w:bookmarkStart w:id="703" w:name="_Toc377394458"/>
      <w:bookmarkStart w:id="704" w:name="_Toc210192427"/>
      <w:bookmarkStart w:id="705" w:name="_Toc21854776"/>
      <w:bookmarkStart w:id="706" w:name="_Toc276043909"/>
      <w:bookmarkStart w:id="707" w:name="_Toc8845573"/>
      <w:bookmarkStart w:id="708" w:name="_Toc524703845"/>
      <w:bookmarkStart w:id="709" w:name="_Toc524092698"/>
      <w:bookmarkStart w:id="710" w:name="_Toc8845660"/>
      <w:bookmarkStart w:id="711" w:name="_Toc8845751"/>
      <w:bookmarkStart w:id="712" w:name="_Toc524092621"/>
      <w:bookmarkStart w:id="713" w:name="_Toc524092801"/>
      <w:bookmarkStart w:id="714" w:name="_Toc24983"/>
      <w:bookmarkStart w:id="715" w:name="_Toc352357971"/>
      <w:bookmarkStart w:id="716" w:name="_Toc46304760"/>
      <w:bookmarkStart w:id="717" w:name="_Toc52417613"/>
      <w:bookmarkStart w:id="718" w:name="_Toc17735"/>
      <w:bookmarkStart w:id="719" w:name="_Toc53841396"/>
      <w:bookmarkStart w:id="720" w:name="_Toc379571902"/>
      <w:bookmarkStart w:id="721" w:name="_Toc239138584"/>
      <w:bookmarkStart w:id="722" w:name="_Toc414456730"/>
      <w:bookmarkStart w:id="723" w:name="_Toc52503486"/>
      <w:bookmarkStart w:id="724" w:name="_Toc524092528"/>
      <w:bookmarkStart w:id="725" w:name="_Toc524703771"/>
      <w:bookmarkStart w:id="726" w:name="_Toc232434663"/>
      <w:bookmarkStart w:id="727" w:name="_Toc8845733"/>
      <w:bookmarkStart w:id="728" w:name="_Toc46107911"/>
      <w:bookmarkStart w:id="729" w:name="_Toc18842"/>
      <w:r>
        <w:rPr>
          <w:rFonts w:hint="eastAsia" w:ascii="宋体" w:hAnsi="宋体" w:eastAsia="宋体" w:cs="宋体"/>
          <w:b/>
          <w:color w:val="auto"/>
          <w:sz w:val="30"/>
          <w:highlight w:val="none"/>
        </w:rPr>
        <w:t>（响应文件第一部分--资格文件包括▲附件1.1-1.9的内容）</w:t>
      </w:r>
    </w:p>
    <w:p>
      <w:pPr>
        <w:pStyle w:val="5"/>
        <w:spacing w:line="400" w:lineRule="exact"/>
        <w:ind w:right="12"/>
        <w:jc w:val="center"/>
        <w:rPr>
          <w:rFonts w:hint="eastAsia" w:ascii="宋体" w:hAnsi="宋体" w:eastAsia="宋体" w:cs="宋体"/>
          <w:color w:val="auto"/>
          <w:highlight w:val="none"/>
        </w:rPr>
      </w:pPr>
      <w:bookmarkStart w:id="730" w:name="_Toc3897"/>
      <w:bookmarkStart w:id="731" w:name="_Toc14922"/>
      <w:bookmarkStart w:id="732" w:name="_Toc6808"/>
      <w:bookmarkStart w:id="733" w:name="_Toc4877"/>
      <w:bookmarkStart w:id="734" w:name="_Toc13340"/>
      <w:bookmarkStart w:id="735" w:name="_Toc21807"/>
      <w:bookmarkStart w:id="736" w:name="_Toc27917"/>
      <w:bookmarkStart w:id="737" w:name="_Toc9844"/>
      <w:r>
        <w:rPr>
          <w:rFonts w:hint="eastAsia" w:ascii="宋体" w:hAnsi="宋体" w:eastAsia="宋体" w:cs="宋体"/>
          <w:color w:val="auto"/>
          <w:highlight w:val="none"/>
        </w:rPr>
        <w:t>▲附件1.1 响应</w:t>
      </w:r>
      <w:bookmarkEnd w:id="692"/>
      <w:bookmarkEnd w:id="693"/>
      <w:bookmarkEnd w:id="694"/>
      <w:bookmarkEnd w:id="695"/>
      <w:bookmarkEnd w:id="696"/>
      <w:bookmarkEnd w:id="697"/>
      <w:bookmarkEnd w:id="698"/>
      <w:bookmarkEnd w:id="699"/>
      <w:r>
        <w:rPr>
          <w:rFonts w:hint="eastAsia" w:ascii="宋体" w:hAnsi="宋体" w:eastAsia="宋体" w:cs="宋体"/>
          <w:color w:val="auto"/>
          <w:highlight w:val="none"/>
        </w:rPr>
        <w:t>函格式</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pPr>
        <w:pStyle w:val="104"/>
        <w:spacing w:line="400" w:lineRule="exact"/>
        <w:rPr>
          <w:rFonts w:hint="eastAsia" w:ascii="宋体" w:hAnsi="宋体" w:eastAsia="宋体" w:cs="宋体"/>
          <w:color w:val="auto"/>
          <w:sz w:val="24"/>
          <w:highlight w:val="none"/>
        </w:rPr>
      </w:pPr>
    </w:p>
    <w:p>
      <w:pPr>
        <w:pStyle w:val="104"/>
        <w:snapToGrid w:val="0"/>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(采购代理机构)    </w:t>
      </w:r>
    </w:p>
    <w:p>
      <w:pPr>
        <w:pStyle w:val="104"/>
        <w:snapToGrid w:val="0"/>
        <w:spacing w:line="360" w:lineRule="auto"/>
        <w:rPr>
          <w:rFonts w:hint="eastAsia" w:ascii="宋体" w:hAnsi="宋体" w:eastAsia="宋体" w:cs="宋体"/>
          <w:color w:val="auto"/>
          <w:sz w:val="24"/>
          <w:highlight w:val="none"/>
        </w:rPr>
      </w:pPr>
    </w:p>
    <w:p>
      <w:pPr>
        <w:snapToGrid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sz w:val="24"/>
          <w:highlight w:val="none"/>
          <w:lang w:val="zh-CN"/>
        </w:rPr>
        <w:t>根据贵方为</w:t>
      </w:r>
      <w:r>
        <w:rPr>
          <w:rFonts w:hint="eastAsia" w:ascii="宋体" w:hAnsi="宋体" w:eastAsia="宋体" w:cs="宋体"/>
          <w:color w:val="auto"/>
          <w:sz w:val="24"/>
          <w:highlight w:val="none"/>
          <w:u w:val="single"/>
          <w:lang w:val="zh-CN"/>
        </w:rPr>
        <w:t>（项目名称）（项目编号：     ）</w:t>
      </w:r>
      <w:r>
        <w:rPr>
          <w:rFonts w:hint="eastAsia" w:ascii="宋体" w:hAnsi="宋体" w:eastAsia="宋体" w:cs="宋体"/>
          <w:color w:val="auto"/>
          <w:sz w:val="24"/>
          <w:highlight w:val="none"/>
          <w:lang w:val="zh-CN"/>
        </w:rPr>
        <w:t>的磋商邀请，签字代表：</w:t>
      </w:r>
      <w:r>
        <w:rPr>
          <w:rFonts w:hint="eastAsia" w:ascii="宋体" w:hAnsi="宋体" w:eastAsia="宋体" w:cs="宋体"/>
          <w:color w:val="auto"/>
          <w:sz w:val="24"/>
          <w:highlight w:val="none"/>
          <w:u w:val="single"/>
          <w:lang w:val="zh-CN"/>
        </w:rPr>
        <w:t xml:space="preserve">(姓名) </w:t>
      </w:r>
      <w:r>
        <w:rPr>
          <w:rFonts w:hint="eastAsia" w:ascii="宋体" w:hAnsi="宋体" w:eastAsia="宋体" w:cs="宋体"/>
          <w:color w:val="auto"/>
          <w:sz w:val="24"/>
          <w:highlight w:val="none"/>
          <w:lang w:val="zh-CN"/>
        </w:rPr>
        <w:t>经本单位法定代表人：</w:t>
      </w:r>
      <w:r>
        <w:rPr>
          <w:rFonts w:hint="eastAsia" w:ascii="宋体" w:hAnsi="宋体" w:eastAsia="宋体" w:cs="宋体"/>
          <w:color w:val="auto"/>
          <w:sz w:val="24"/>
          <w:highlight w:val="none"/>
          <w:u w:val="single"/>
          <w:lang w:val="zh-CN"/>
        </w:rPr>
        <w:t>（姓名 ）</w:t>
      </w:r>
      <w:r>
        <w:rPr>
          <w:rFonts w:hint="eastAsia" w:ascii="宋体" w:hAnsi="宋体" w:eastAsia="宋体" w:cs="宋体"/>
          <w:color w:val="auto"/>
          <w:sz w:val="24"/>
          <w:highlight w:val="none"/>
          <w:lang w:val="zh-CN"/>
        </w:rPr>
        <w:t>正式授权并代表本单位</w:t>
      </w:r>
      <w:r>
        <w:rPr>
          <w:rFonts w:hint="eastAsia" w:ascii="宋体" w:hAnsi="宋体" w:eastAsia="宋体" w:cs="宋体"/>
          <w:color w:val="auto"/>
          <w:sz w:val="24"/>
          <w:highlight w:val="none"/>
          <w:u w:val="single"/>
          <w:lang w:val="zh-CN"/>
        </w:rPr>
        <w:t xml:space="preserve">：(供应商名称) </w:t>
      </w:r>
      <w:r>
        <w:rPr>
          <w:rFonts w:hint="eastAsia" w:ascii="宋体" w:hAnsi="宋体" w:eastAsia="宋体" w:cs="宋体"/>
          <w:color w:val="auto"/>
          <w:sz w:val="24"/>
          <w:highlight w:val="none"/>
          <w:lang w:val="zh-CN"/>
        </w:rPr>
        <w:t>提交响应文件正本一份及副本___份。</w:t>
      </w:r>
    </w:p>
    <w:p>
      <w:pPr>
        <w:snapToGrid w:val="0"/>
        <w:spacing w:line="360" w:lineRule="auto"/>
        <w:ind w:left="420"/>
        <w:rPr>
          <w:rFonts w:hint="eastAsia" w:ascii="宋体" w:hAnsi="宋体" w:eastAsia="宋体" w:cs="宋体"/>
          <w:color w:val="auto"/>
          <w:sz w:val="24"/>
          <w:highlight w:val="none"/>
        </w:rPr>
      </w:pPr>
    </w:p>
    <w:p>
      <w:pPr>
        <w:pStyle w:val="104"/>
        <w:snapToGrid w:val="0"/>
        <w:spacing w:line="360" w:lineRule="auto"/>
        <w:ind w:left="420"/>
        <w:rPr>
          <w:rFonts w:hint="eastAsia" w:ascii="宋体" w:hAnsi="宋体" w:eastAsia="宋体" w:cs="宋体"/>
          <w:color w:val="auto"/>
          <w:highlight w:val="none"/>
        </w:rPr>
      </w:pPr>
      <w:r>
        <w:rPr>
          <w:rFonts w:hint="eastAsia" w:ascii="宋体" w:hAnsi="宋体" w:eastAsia="宋体" w:cs="宋体"/>
          <w:color w:val="auto"/>
          <w:sz w:val="24"/>
          <w:highlight w:val="none"/>
        </w:rPr>
        <w:t>据此函，签字代表宣布同意如下：</w:t>
      </w:r>
    </w:p>
    <w:p>
      <w:pPr>
        <w:pStyle w:val="104"/>
        <w:snapToGrid w:val="0"/>
        <w:spacing w:line="360" w:lineRule="auto"/>
        <w:ind w:left="479"/>
        <w:rPr>
          <w:rFonts w:hint="eastAsia" w:ascii="宋体" w:hAnsi="宋体" w:eastAsia="宋体" w:cs="宋体"/>
          <w:color w:val="auto"/>
          <w:highlight w:val="none"/>
        </w:rPr>
      </w:pPr>
      <w:r>
        <w:rPr>
          <w:rFonts w:hint="eastAsia" w:ascii="宋体" w:hAnsi="宋体" w:eastAsia="宋体" w:cs="宋体"/>
          <w:color w:val="auto"/>
          <w:sz w:val="24"/>
          <w:highlight w:val="none"/>
        </w:rPr>
        <w:t>1.我方已详细审查全部磋商文件，包括相关修改、补充文件（若有），愿意接受其中的要求和规定。</w:t>
      </w:r>
    </w:p>
    <w:p>
      <w:pPr>
        <w:pStyle w:val="104"/>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sz w:val="24"/>
          <w:highlight w:val="none"/>
        </w:rPr>
        <w:t>2.本响应文件有效期为自响应文件递交截止日起</w:t>
      </w:r>
      <w:r>
        <w:rPr>
          <w:rFonts w:hint="eastAsia" w:ascii="宋体" w:hAnsi="宋体" w:eastAsia="宋体" w:cs="宋体"/>
          <w:color w:val="auto"/>
          <w:sz w:val="24"/>
          <w:highlight w:val="none"/>
          <w:u w:val="single"/>
        </w:rPr>
        <w:t>90</w:t>
      </w:r>
      <w:r>
        <w:rPr>
          <w:rFonts w:hint="eastAsia" w:ascii="宋体" w:hAnsi="宋体" w:eastAsia="宋体" w:cs="宋体"/>
          <w:color w:val="auto"/>
          <w:sz w:val="24"/>
          <w:highlight w:val="none"/>
        </w:rPr>
        <w:t>日 。</w:t>
      </w:r>
    </w:p>
    <w:p>
      <w:pPr>
        <w:pStyle w:val="104"/>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sz w:val="24"/>
          <w:highlight w:val="none"/>
        </w:rPr>
        <w:t>3.我方已递交了人民币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元的保证金。如果我方违反相关规定，我方的保证金</w:t>
      </w:r>
    </w:p>
    <w:p>
      <w:pPr>
        <w:pStyle w:val="104"/>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sz w:val="24"/>
          <w:highlight w:val="none"/>
        </w:rPr>
        <w:t>将被贵方没收。</w:t>
      </w:r>
    </w:p>
    <w:p>
      <w:pPr>
        <w:pStyle w:val="104"/>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sz w:val="24"/>
          <w:highlight w:val="none"/>
        </w:rPr>
        <w:t>4.与本响应文件有关的一切正式信函请寄：</w:t>
      </w:r>
    </w:p>
    <w:p>
      <w:pPr>
        <w:pStyle w:val="104"/>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sz w:val="24"/>
          <w:highlight w:val="none"/>
        </w:rPr>
        <w:t>地    址：（邮政编码）：</w:t>
      </w:r>
    </w:p>
    <w:p>
      <w:pPr>
        <w:pStyle w:val="104"/>
        <w:snapToGrid w:val="0"/>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电话/手机：  传真：</w:t>
      </w:r>
    </w:p>
    <w:p>
      <w:pPr>
        <w:pStyle w:val="104"/>
        <w:tabs>
          <w:tab w:val="left" w:pos="5580"/>
        </w:tabs>
        <w:snapToGrid w:val="0"/>
        <w:spacing w:line="360" w:lineRule="auto"/>
        <w:ind w:right="210" w:firstLine="480"/>
        <w:rPr>
          <w:rFonts w:hint="eastAsia" w:ascii="宋体" w:hAnsi="宋体" w:eastAsia="宋体" w:cs="宋体"/>
          <w:color w:val="auto"/>
          <w:highlight w:val="none"/>
        </w:rPr>
      </w:pPr>
      <w:r>
        <w:rPr>
          <w:rFonts w:hint="eastAsia" w:ascii="宋体" w:hAnsi="宋体" w:eastAsia="宋体" w:cs="宋体"/>
          <w:color w:val="auto"/>
          <w:sz w:val="24"/>
          <w:highlight w:val="none"/>
        </w:rPr>
        <w:t>电子邮件：</w:t>
      </w:r>
    </w:p>
    <w:p>
      <w:pPr>
        <w:pStyle w:val="104"/>
        <w:tabs>
          <w:tab w:val="left" w:pos="5580"/>
        </w:tabs>
        <w:snapToGrid w:val="0"/>
        <w:spacing w:line="360" w:lineRule="auto"/>
        <w:ind w:right="210" w:firstLine="240"/>
        <w:rPr>
          <w:rFonts w:hint="eastAsia" w:ascii="宋体" w:hAnsi="宋体" w:eastAsia="宋体" w:cs="宋体"/>
          <w:color w:val="auto"/>
          <w:sz w:val="24"/>
          <w:highlight w:val="none"/>
        </w:rPr>
      </w:pPr>
    </w:p>
    <w:p>
      <w:pPr>
        <w:snapToGrid w:val="0"/>
        <w:spacing w:line="360" w:lineRule="auto"/>
        <w:rPr>
          <w:rFonts w:hint="eastAsia" w:ascii="宋体" w:hAnsi="宋体" w:eastAsia="宋体" w:cs="宋体"/>
          <w:b/>
          <w:bCs/>
          <w:color w:val="auto"/>
          <w:highlight w:val="none"/>
          <w:u w:val="single"/>
        </w:rPr>
      </w:pPr>
      <w:r>
        <w:rPr>
          <w:rFonts w:hint="eastAsia" w:ascii="宋体" w:hAnsi="宋体" w:eastAsia="宋体" w:cs="宋体"/>
          <w:b/>
          <w:bCs/>
          <w:color w:val="auto"/>
          <w:sz w:val="24"/>
          <w:highlight w:val="none"/>
        </w:rPr>
        <w:t>加盖供应商公章：</w:t>
      </w:r>
      <w:r>
        <w:rPr>
          <w:rFonts w:hint="eastAsia" w:ascii="宋体" w:hAnsi="宋体" w:eastAsia="宋体" w:cs="宋体"/>
          <w:b/>
          <w:bCs/>
          <w:color w:val="auto"/>
          <w:sz w:val="24"/>
          <w:highlight w:val="none"/>
          <w:u w:val="single"/>
        </w:rPr>
        <w:t xml:space="preserve">          </w:t>
      </w:r>
    </w:p>
    <w:p>
      <w:pPr>
        <w:pStyle w:val="104"/>
        <w:snapToGrid w:val="0"/>
        <w:spacing w:line="360" w:lineRule="auto"/>
        <w:rPr>
          <w:rFonts w:hint="eastAsia" w:ascii="宋体" w:hAnsi="宋体" w:eastAsia="宋体" w:cs="宋体"/>
          <w:b/>
          <w:bCs/>
          <w:color w:val="auto"/>
          <w:highlight w:val="none"/>
        </w:rPr>
      </w:pPr>
      <w:r>
        <w:rPr>
          <w:rFonts w:hint="eastAsia" w:ascii="宋体" w:hAnsi="宋体" w:eastAsia="宋体" w:cs="宋体"/>
          <w:b/>
          <w:bCs/>
          <w:color w:val="auto"/>
          <w:sz w:val="24"/>
          <w:highlight w:val="none"/>
        </w:rPr>
        <w:t>日期：</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 xml:space="preserve"> </w:t>
      </w:r>
    </w:p>
    <w:p>
      <w:pPr>
        <w:rPr>
          <w:rFonts w:hint="eastAsia" w:ascii="宋体" w:hAnsi="宋体" w:eastAsia="宋体" w:cs="宋体"/>
          <w:color w:val="auto"/>
          <w:highlight w:val="none"/>
        </w:rPr>
      </w:pPr>
      <w:bookmarkStart w:id="738" w:name="_Toc9279"/>
      <w:bookmarkStart w:id="739" w:name="_Toc3811"/>
      <w:bookmarkStart w:id="740" w:name="_Toc10595"/>
    </w:p>
    <w:p>
      <w:pPr>
        <w:pStyle w:val="5"/>
        <w:pageBreakBefore/>
        <w:spacing w:line="400" w:lineRule="exact"/>
        <w:jc w:val="center"/>
        <w:rPr>
          <w:rFonts w:hint="eastAsia" w:ascii="宋体" w:hAnsi="宋体" w:eastAsia="宋体" w:cs="宋体"/>
          <w:color w:val="auto"/>
          <w:highlight w:val="none"/>
        </w:rPr>
      </w:pPr>
      <w:bookmarkStart w:id="741" w:name="_Toc30380"/>
      <w:bookmarkStart w:id="742" w:name="_Toc20051"/>
      <w:bookmarkStart w:id="743" w:name="_Toc7821"/>
      <w:bookmarkStart w:id="744" w:name="_Toc6549"/>
      <w:bookmarkStart w:id="745" w:name="_Toc17101"/>
      <w:bookmarkStart w:id="746" w:name="_Toc4068"/>
      <w:r>
        <w:rPr>
          <w:rFonts w:hint="eastAsia" w:ascii="宋体" w:hAnsi="宋体" w:eastAsia="宋体" w:cs="宋体"/>
          <w:color w:val="auto"/>
          <w:highlight w:val="none"/>
        </w:rPr>
        <w:t>▲附件1.2 法定代表人授权书格式</w:t>
      </w:r>
      <w:bookmarkEnd w:id="738"/>
      <w:bookmarkEnd w:id="739"/>
      <w:bookmarkEnd w:id="740"/>
      <w:bookmarkEnd w:id="741"/>
      <w:bookmarkEnd w:id="742"/>
      <w:bookmarkEnd w:id="743"/>
      <w:bookmarkEnd w:id="744"/>
      <w:bookmarkEnd w:id="745"/>
      <w:bookmarkEnd w:id="746"/>
    </w:p>
    <w:p>
      <w:pPr>
        <w:pStyle w:val="104"/>
        <w:spacing w:line="400" w:lineRule="exact"/>
        <w:jc w:val="center"/>
        <w:rPr>
          <w:rFonts w:hint="eastAsia" w:ascii="宋体" w:hAnsi="宋体" w:eastAsia="宋体" w:cs="宋体"/>
          <w:color w:val="auto"/>
          <w:sz w:val="24"/>
          <w:highlight w:val="none"/>
        </w:rPr>
      </w:pPr>
    </w:p>
    <w:p>
      <w:pPr>
        <w:pStyle w:val="104"/>
        <w:snapToGrid w:val="0"/>
        <w:spacing w:line="480" w:lineRule="auto"/>
        <w:rPr>
          <w:rFonts w:hint="eastAsia" w:ascii="宋体" w:hAnsi="宋体" w:eastAsia="宋体" w:cs="宋体"/>
          <w:color w:val="auto"/>
          <w:sz w:val="24"/>
          <w:highlight w:val="none"/>
        </w:rPr>
      </w:pPr>
    </w:p>
    <w:p>
      <w:pPr>
        <w:pStyle w:val="104"/>
        <w:snapToGrid w:val="0"/>
        <w:spacing w:line="480" w:lineRule="auto"/>
        <w:ind w:firstLine="480"/>
        <w:rPr>
          <w:rFonts w:hint="eastAsia" w:ascii="宋体" w:hAnsi="宋体" w:eastAsia="宋体" w:cs="宋体"/>
          <w:color w:val="auto"/>
          <w:highlight w:val="none"/>
        </w:rPr>
      </w:pPr>
      <w:r>
        <w:rPr>
          <w:rFonts w:hint="eastAsia" w:ascii="宋体" w:hAnsi="宋体" w:eastAsia="宋体" w:cs="宋体"/>
          <w:color w:val="auto"/>
          <w:sz w:val="24"/>
          <w:highlight w:val="none"/>
        </w:rPr>
        <w:t>本授权书声明：</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zh-CN"/>
        </w:rPr>
        <w:t>供应商名称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的在下面签字的</w:t>
      </w:r>
      <w:r>
        <w:rPr>
          <w:rFonts w:hint="eastAsia" w:ascii="宋体" w:hAnsi="宋体" w:eastAsia="宋体" w:cs="宋体"/>
          <w:color w:val="auto"/>
          <w:sz w:val="24"/>
          <w:highlight w:val="none"/>
          <w:u w:val="single"/>
        </w:rPr>
        <w:t>（法定代表人姓名）</w:t>
      </w:r>
      <w:r>
        <w:rPr>
          <w:rFonts w:hint="eastAsia" w:ascii="宋体" w:hAnsi="宋体" w:eastAsia="宋体" w:cs="宋体"/>
          <w:color w:val="auto"/>
          <w:sz w:val="24"/>
          <w:highlight w:val="none"/>
        </w:rPr>
        <w:t>代表本单位授权在下面签字的</w:t>
      </w:r>
      <w:r>
        <w:rPr>
          <w:rFonts w:hint="eastAsia" w:ascii="宋体" w:hAnsi="宋体" w:eastAsia="宋体" w:cs="宋体"/>
          <w:color w:val="auto"/>
          <w:sz w:val="24"/>
          <w:highlight w:val="none"/>
          <w:u w:val="single"/>
        </w:rPr>
        <w:t>（被授权人的姓名）</w:t>
      </w:r>
      <w:r>
        <w:rPr>
          <w:rFonts w:hint="eastAsia" w:ascii="宋体" w:hAnsi="宋体" w:eastAsia="宋体" w:cs="宋体"/>
          <w:color w:val="auto"/>
          <w:sz w:val="24"/>
          <w:highlight w:val="none"/>
        </w:rPr>
        <w:t>为本单位的合法代理人，就</w:t>
      </w:r>
      <w:r>
        <w:rPr>
          <w:rFonts w:hint="eastAsia" w:ascii="宋体" w:hAnsi="宋体" w:eastAsia="宋体" w:cs="宋体"/>
          <w:color w:val="auto"/>
          <w:sz w:val="24"/>
          <w:highlight w:val="none"/>
          <w:u w:val="single"/>
        </w:rPr>
        <w:t>（项目名称、项目编号）</w:t>
      </w:r>
      <w:r>
        <w:rPr>
          <w:rFonts w:hint="eastAsia" w:ascii="宋体" w:hAnsi="宋体" w:eastAsia="宋体" w:cs="宋体"/>
          <w:color w:val="auto"/>
          <w:sz w:val="24"/>
          <w:highlight w:val="none"/>
        </w:rPr>
        <w:t>的磋商，以本单位名义处理一切与之有关的事务。</w:t>
      </w:r>
    </w:p>
    <w:p>
      <w:pPr>
        <w:pStyle w:val="104"/>
        <w:spacing w:line="400" w:lineRule="exact"/>
        <w:rPr>
          <w:rFonts w:hint="eastAsia" w:ascii="宋体" w:hAnsi="宋体" w:eastAsia="宋体" w:cs="宋体"/>
          <w:color w:val="auto"/>
          <w:sz w:val="24"/>
          <w:highlight w:val="none"/>
        </w:rPr>
      </w:pPr>
    </w:p>
    <w:p>
      <w:pPr>
        <w:pStyle w:val="104"/>
        <w:spacing w:line="400" w:lineRule="exact"/>
        <w:ind w:firstLine="480"/>
        <w:rPr>
          <w:rFonts w:hint="eastAsia" w:ascii="宋体" w:hAnsi="宋体" w:eastAsia="宋体" w:cs="宋体"/>
          <w:color w:val="auto"/>
          <w:highlight w:val="none"/>
        </w:rPr>
      </w:pPr>
      <w:r>
        <w:rPr>
          <w:rFonts w:hint="eastAsia" w:ascii="宋体" w:hAnsi="宋体" w:eastAsia="宋体" w:cs="宋体"/>
          <w:color w:val="auto"/>
          <w:sz w:val="24"/>
          <w:highlight w:val="none"/>
        </w:rPr>
        <w:t>本授权书于   年   月   日签字生效。</w:t>
      </w:r>
    </w:p>
    <w:p>
      <w:pPr>
        <w:pStyle w:val="104"/>
        <w:spacing w:line="400" w:lineRule="exact"/>
        <w:ind w:left="-210" w:firstLine="630"/>
        <w:rPr>
          <w:rFonts w:hint="eastAsia" w:ascii="宋体" w:hAnsi="宋体" w:eastAsia="宋体" w:cs="宋体"/>
          <w:color w:val="auto"/>
          <w:sz w:val="24"/>
          <w:highlight w:val="none"/>
        </w:rPr>
      </w:pPr>
    </w:p>
    <w:p>
      <w:pPr>
        <w:pStyle w:val="104"/>
        <w:spacing w:line="400" w:lineRule="exact"/>
        <w:ind w:firstLine="480"/>
        <w:rPr>
          <w:rFonts w:hint="eastAsia" w:ascii="宋体" w:hAnsi="宋体" w:eastAsia="宋体" w:cs="宋体"/>
          <w:color w:val="auto"/>
          <w:sz w:val="24"/>
          <w:highlight w:val="none"/>
        </w:rPr>
      </w:pPr>
    </w:p>
    <w:p>
      <w:pPr>
        <w:pStyle w:val="104"/>
        <w:spacing w:line="400" w:lineRule="exact"/>
        <w:ind w:firstLine="480"/>
        <w:rPr>
          <w:rFonts w:hint="eastAsia" w:ascii="宋体" w:hAnsi="宋体" w:eastAsia="宋体" w:cs="宋体"/>
          <w:color w:val="auto"/>
          <w:highlight w:val="none"/>
        </w:rPr>
      </w:pPr>
      <w:r>
        <w:rPr>
          <w:rFonts w:hint="eastAsia" w:ascii="宋体" w:hAnsi="宋体" w:eastAsia="宋体" w:cs="宋体"/>
          <w:color w:val="auto"/>
          <w:sz w:val="24"/>
          <w:highlight w:val="none"/>
        </w:rPr>
        <w:t>特此声明。</w:t>
      </w:r>
    </w:p>
    <w:p>
      <w:pPr>
        <w:pStyle w:val="104"/>
        <w:spacing w:line="400" w:lineRule="exact"/>
        <w:rPr>
          <w:rFonts w:hint="eastAsia" w:ascii="宋体" w:hAnsi="宋体" w:eastAsia="宋体" w:cs="宋体"/>
          <w:color w:val="auto"/>
          <w:sz w:val="24"/>
          <w:highlight w:val="none"/>
        </w:rPr>
      </w:pPr>
    </w:p>
    <w:p>
      <w:pPr>
        <w:pStyle w:val="104"/>
        <w:spacing w:line="400" w:lineRule="exact"/>
        <w:ind w:firstLine="314"/>
        <w:rPr>
          <w:rFonts w:hint="eastAsia" w:ascii="宋体" w:hAnsi="宋体" w:eastAsia="宋体" w:cs="宋体"/>
          <w:color w:val="auto"/>
          <w:sz w:val="24"/>
          <w:highlight w:val="none"/>
        </w:rPr>
      </w:pPr>
    </w:p>
    <w:p>
      <w:pPr>
        <w:pStyle w:val="104"/>
        <w:spacing w:line="400" w:lineRule="exact"/>
        <w:ind w:firstLine="314"/>
        <w:rPr>
          <w:rFonts w:hint="eastAsia" w:ascii="宋体" w:hAnsi="宋体" w:eastAsia="宋体" w:cs="宋体"/>
          <w:color w:val="auto"/>
          <w:sz w:val="24"/>
          <w:highlight w:val="none"/>
        </w:rPr>
      </w:pPr>
    </w:p>
    <w:p>
      <w:pPr>
        <w:pStyle w:val="104"/>
        <w:snapToGrid w:val="0"/>
        <w:spacing w:line="360" w:lineRule="auto"/>
        <w:rPr>
          <w:rFonts w:hint="eastAsia" w:ascii="宋体" w:hAnsi="宋体" w:eastAsia="宋体" w:cs="宋体"/>
          <w:b/>
          <w:bCs/>
          <w:color w:val="auto"/>
          <w:highlight w:val="none"/>
        </w:rPr>
      </w:pPr>
      <w:r>
        <w:rPr>
          <w:rFonts w:hint="eastAsia" w:ascii="宋体" w:hAnsi="宋体" w:eastAsia="宋体" w:cs="宋体"/>
          <w:b/>
          <w:bCs/>
          <w:color w:val="auto"/>
          <w:sz w:val="24"/>
          <w:highlight w:val="none"/>
          <w:lang w:val="zh-CN"/>
        </w:rPr>
        <w:t>供应商</w:t>
      </w:r>
      <w:r>
        <w:rPr>
          <w:rFonts w:hint="eastAsia" w:ascii="宋体" w:hAnsi="宋体" w:eastAsia="宋体" w:cs="宋体"/>
          <w:b/>
          <w:bCs/>
          <w:color w:val="auto"/>
          <w:sz w:val="24"/>
          <w:highlight w:val="none"/>
        </w:rPr>
        <w:t>法定代表人签章（签字或印章）：</w:t>
      </w:r>
      <w:r>
        <w:rPr>
          <w:rFonts w:hint="eastAsia" w:ascii="宋体" w:hAnsi="宋体" w:eastAsia="宋体" w:cs="宋体"/>
          <w:b/>
          <w:bCs/>
          <w:color w:val="auto"/>
          <w:sz w:val="24"/>
          <w:highlight w:val="none"/>
          <w:u w:val="single"/>
        </w:rPr>
        <w:t xml:space="preserve">       </w:t>
      </w:r>
    </w:p>
    <w:p>
      <w:pPr>
        <w:snapToGrid w:val="0"/>
        <w:spacing w:line="360" w:lineRule="auto"/>
        <w:rPr>
          <w:rFonts w:hint="eastAsia" w:ascii="宋体" w:hAnsi="宋体" w:eastAsia="宋体" w:cs="宋体"/>
          <w:b/>
          <w:bCs/>
          <w:color w:val="auto"/>
          <w:highlight w:val="none"/>
          <w:u w:val="single"/>
        </w:rPr>
      </w:pPr>
      <w:r>
        <w:rPr>
          <w:rFonts w:hint="eastAsia" w:ascii="宋体" w:hAnsi="宋体" w:eastAsia="宋体" w:cs="宋体"/>
          <w:b/>
          <w:bCs/>
          <w:color w:val="auto"/>
          <w:sz w:val="24"/>
          <w:highlight w:val="none"/>
        </w:rPr>
        <w:t>加盖供应商公章：</w:t>
      </w:r>
      <w:r>
        <w:rPr>
          <w:rFonts w:hint="eastAsia" w:ascii="宋体" w:hAnsi="宋体" w:eastAsia="宋体" w:cs="宋体"/>
          <w:b/>
          <w:bCs/>
          <w:color w:val="auto"/>
          <w:sz w:val="24"/>
          <w:highlight w:val="none"/>
          <w:u w:val="single"/>
        </w:rPr>
        <w:t xml:space="preserve">          </w:t>
      </w:r>
    </w:p>
    <w:p>
      <w:pPr>
        <w:pStyle w:val="104"/>
        <w:snapToGrid w:val="0"/>
        <w:spacing w:line="360" w:lineRule="auto"/>
        <w:rPr>
          <w:rFonts w:hint="eastAsia" w:ascii="宋体" w:hAnsi="宋体" w:eastAsia="宋体" w:cs="宋体"/>
          <w:b/>
          <w:bCs/>
          <w:color w:val="auto"/>
          <w:highlight w:val="none"/>
        </w:rPr>
      </w:pPr>
      <w:r>
        <w:rPr>
          <w:rFonts w:hint="eastAsia" w:ascii="宋体" w:hAnsi="宋体" w:eastAsia="宋体" w:cs="宋体"/>
          <w:b/>
          <w:bCs/>
          <w:color w:val="auto"/>
          <w:sz w:val="24"/>
          <w:highlight w:val="none"/>
        </w:rPr>
        <w:t>日期：</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 xml:space="preserve"> </w:t>
      </w:r>
    </w:p>
    <w:p>
      <w:pPr>
        <w:pStyle w:val="104"/>
        <w:snapToGrid w:val="0"/>
        <w:spacing w:line="360" w:lineRule="auto"/>
        <w:ind w:firstLine="314"/>
        <w:rPr>
          <w:rFonts w:hint="eastAsia" w:ascii="宋体" w:hAnsi="宋体" w:eastAsia="宋体" w:cs="宋体"/>
          <w:color w:val="auto"/>
          <w:sz w:val="24"/>
          <w:highlight w:val="none"/>
        </w:rPr>
      </w:pPr>
    </w:p>
    <w:p>
      <w:pPr>
        <w:pStyle w:val="104"/>
        <w:snapToGrid w:val="0"/>
        <w:spacing w:line="360" w:lineRule="auto"/>
        <w:rPr>
          <w:rFonts w:hint="eastAsia" w:ascii="宋体" w:hAnsi="宋体" w:eastAsia="宋体" w:cs="宋体"/>
          <w:b/>
          <w:bCs/>
          <w:color w:val="auto"/>
          <w:highlight w:val="none"/>
        </w:rPr>
      </w:pPr>
      <w:r>
        <w:rPr>
          <w:rFonts w:hint="eastAsia" w:ascii="宋体" w:hAnsi="宋体" w:eastAsia="宋体" w:cs="宋体"/>
          <w:b/>
          <w:bCs/>
          <w:color w:val="auto"/>
          <w:sz w:val="24"/>
          <w:highlight w:val="none"/>
        </w:rPr>
        <w:t>被授权人（即供应商代表）签章：</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 xml:space="preserve"> </w:t>
      </w:r>
    </w:p>
    <w:p>
      <w:pPr>
        <w:pStyle w:val="104"/>
        <w:snapToGrid w:val="0"/>
        <w:spacing w:line="360" w:lineRule="auto"/>
        <w:rPr>
          <w:rFonts w:hint="eastAsia" w:ascii="宋体" w:hAnsi="宋体" w:eastAsia="宋体" w:cs="宋体"/>
          <w:b/>
          <w:bCs/>
          <w:color w:val="auto"/>
          <w:highlight w:val="none"/>
        </w:rPr>
      </w:pPr>
      <w:r>
        <w:rPr>
          <w:rFonts w:hint="eastAsia" w:ascii="宋体" w:hAnsi="宋体" w:eastAsia="宋体" w:cs="宋体"/>
          <w:b/>
          <w:bCs/>
          <w:color w:val="auto"/>
          <w:sz w:val="24"/>
          <w:highlight w:val="none"/>
        </w:rPr>
        <w:t>联系电话或手机/传真/电子邮箱：</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 xml:space="preserve"> </w:t>
      </w:r>
    </w:p>
    <w:p>
      <w:pPr>
        <w:pStyle w:val="104"/>
        <w:snapToGrid w:val="0"/>
        <w:spacing w:line="360" w:lineRule="auto"/>
        <w:ind w:firstLine="314"/>
        <w:rPr>
          <w:rFonts w:hint="eastAsia" w:ascii="宋体" w:hAnsi="宋体" w:eastAsia="宋体" w:cs="宋体"/>
          <w:color w:val="auto"/>
          <w:sz w:val="24"/>
          <w:highlight w:val="none"/>
        </w:rPr>
      </w:pPr>
    </w:p>
    <w:p>
      <w:pPr>
        <w:pStyle w:val="104"/>
        <w:snapToGrid w:val="0"/>
        <w:spacing w:line="360" w:lineRule="auto"/>
        <w:rPr>
          <w:rFonts w:hint="eastAsia" w:ascii="宋体" w:hAnsi="宋体" w:eastAsia="宋体" w:cs="宋体"/>
          <w:b/>
          <w:bCs/>
          <w:color w:val="auto"/>
          <w:highlight w:val="none"/>
        </w:rPr>
      </w:pPr>
      <w:r>
        <w:rPr>
          <w:rFonts w:hint="eastAsia" w:ascii="宋体" w:hAnsi="宋体" w:eastAsia="宋体" w:cs="宋体"/>
          <w:b/>
          <w:bCs/>
          <w:color w:val="auto"/>
          <w:sz w:val="24"/>
          <w:highlight w:val="none"/>
        </w:rPr>
        <w:t>被授权人身份证复印件：</w:t>
      </w:r>
    </w:p>
    <w:p>
      <w:pPr>
        <w:pStyle w:val="56"/>
        <w:snapToGrid w:val="0"/>
        <w:spacing w:line="360" w:lineRule="auto"/>
        <w:ind w:left="5250"/>
        <w:rPr>
          <w:rFonts w:hint="eastAsia" w:ascii="宋体" w:hAnsi="宋体" w:eastAsia="宋体" w:cs="宋体"/>
          <w:color w:val="auto"/>
          <w:highlight w:val="none"/>
        </w:rPr>
      </w:pPr>
      <w:bookmarkStart w:id="747" w:name="_Hlt527379537"/>
      <w:bookmarkEnd w:id="747"/>
    </w:p>
    <w:p>
      <w:pPr>
        <w:spacing w:line="400" w:lineRule="exact"/>
        <w:rPr>
          <w:rFonts w:hint="eastAsia" w:ascii="宋体" w:hAnsi="宋体" w:eastAsia="宋体" w:cs="宋体"/>
          <w:color w:val="auto"/>
          <w:highlight w:val="none"/>
        </w:rPr>
      </w:pPr>
    </w:p>
    <w:p>
      <w:pPr>
        <w:spacing w:line="400" w:lineRule="exact"/>
        <w:rPr>
          <w:rFonts w:hint="eastAsia" w:ascii="宋体" w:hAnsi="宋体" w:eastAsia="宋体" w:cs="宋体"/>
          <w:color w:val="auto"/>
          <w:highlight w:val="none"/>
        </w:rPr>
      </w:pPr>
      <w:r>
        <w:rPr>
          <w:rFonts w:hint="eastAsia" w:ascii="宋体" w:hAnsi="宋体" w:eastAsia="宋体" w:cs="宋体"/>
          <w:color w:val="auto"/>
          <w:sz w:val="24"/>
          <w:highlight w:val="none"/>
        </w:rPr>
        <w:t>注：该授权书的正本及被授权人身份证复印件的正本应装订在响应文件正本中。供应商代表应随身携带身份证原件，以便磋商小组检查。</w:t>
      </w:r>
    </w:p>
    <w:p>
      <w:pPr>
        <w:rPr>
          <w:rFonts w:hint="eastAsia" w:ascii="宋体" w:hAnsi="宋体" w:eastAsia="宋体" w:cs="宋体"/>
          <w:color w:val="auto"/>
          <w:highlight w:val="none"/>
        </w:rPr>
      </w:pPr>
      <w:bookmarkStart w:id="748" w:name="_Toc352358164"/>
      <w:bookmarkStart w:id="749" w:name="_Toc352357978"/>
      <w:bookmarkStart w:id="750" w:name="_Toc239138591"/>
      <w:bookmarkStart w:id="751" w:name="_Toc232434670"/>
      <w:bookmarkStart w:id="752" w:name="_Toc250381491"/>
      <w:bookmarkStart w:id="753" w:name="_Toc276043916"/>
      <w:bookmarkStart w:id="754" w:name="_Toc25526"/>
      <w:bookmarkStart w:id="755" w:name="_Toc374966531"/>
      <w:bookmarkStart w:id="756" w:name="_Toc377394464"/>
      <w:bookmarkStart w:id="757" w:name="_Toc25121"/>
      <w:bookmarkStart w:id="758" w:name="_Toc7546"/>
      <w:bookmarkStart w:id="759" w:name="_Toc8725"/>
      <w:bookmarkStart w:id="760" w:name="_Toc8298"/>
      <w:bookmarkStart w:id="761" w:name="_Toc379571908"/>
      <w:bookmarkStart w:id="762" w:name="_Toc414456736"/>
    </w:p>
    <w:p>
      <w:pPr>
        <w:pStyle w:val="5"/>
        <w:pageBreakBefore/>
        <w:spacing w:before="0" w:after="0"/>
        <w:jc w:val="center"/>
        <w:rPr>
          <w:rFonts w:hint="eastAsia" w:ascii="宋体" w:hAnsi="宋体" w:eastAsia="宋体" w:cs="宋体"/>
          <w:color w:val="auto"/>
          <w:highlight w:val="none"/>
        </w:rPr>
      </w:pPr>
      <w:bookmarkStart w:id="763" w:name="_Toc15077"/>
      <w:bookmarkStart w:id="764" w:name="_Toc17496"/>
      <w:bookmarkStart w:id="765" w:name="_Toc15213"/>
      <w:bookmarkStart w:id="766" w:name="_Toc32230"/>
      <w:bookmarkStart w:id="767" w:name="_Toc29334"/>
      <w:bookmarkStart w:id="768" w:name="_Toc20211"/>
      <w:r>
        <w:rPr>
          <w:rFonts w:hint="eastAsia" w:ascii="宋体" w:hAnsi="宋体" w:eastAsia="宋体" w:cs="宋体"/>
          <w:color w:val="auto"/>
          <w:highlight w:val="none"/>
        </w:rPr>
        <w:t>▲附件1.3 交纳采购代理服务费承诺函</w:t>
      </w:r>
      <w:bookmarkEnd w:id="748"/>
      <w:bookmarkEnd w:id="749"/>
      <w:bookmarkEnd w:id="750"/>
      <w:bookmarkEnd w:id="751"/>
      <w:bookmarkEnd w:id="752"/>
      <w:bookmarkEnd w:id="753"/>
      <w:r>
        <w:rPr>
          <w:rFonts w:hint="eastAsia" w:ascii="宋体" w:hAnsi="宋体" w:eastAsia="宋体" w:cs="宋体"/>
          <w:color w:val="auto"/>
          <w:highlight w:val="none"/>
        </w:rPr>
        <w:t>格式</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pPr>
        <w:pStyle w:val="88"/>
        <w:rPr>
          <w:rFonts w:hint="eastAsia" w:ascii="宋体" w:hAnsi="宋体" w:eastAsia="宋体" w:cs="宋体"/>
          <w:color w:val="auto"/>
          <w:sz w:val="24"/>
          <w:highlight w:val="none"/>
        </w:rPr>
      </w:pPr>
    </w:p>
    <w:p>
      <w:pPr>
        <w:pStyle w:val="88"/>
        <w:rPr>
          <w:rFonts w:hint="eastAsia" w:ascii="宋体" w:hAnsi="宋体" w:eastAsia="宋体" w:cs="宋体"/>
          <w:color w:val="auto"/>
          <w:sz w:val="24"/>
          <w:highlight w:val="none"/>
        </w:rPr>
      </w:pPr>
    </w:p>
    <w:p>
      <w:pPr>
        <w:pStyle w:val="88"/>
        <w:rPr>
          <w:rFonts w:hint="eastAsia" w:ascii="宋体" w:hAnsi="宋体" w:eastAsia="宋体" w:cs="宋体"/>
          <w:color w:val="auto"/>
          <w:sz w:val="24"/>
          <w:highlight w:val="none"/>
        </w:rPr>
      </w:pPr>
    </w:p>
    <w:p>
      <w:pPr>
        <w:pStyle w:val="88"/>
        <w:rPr>
          <w:rFonts w:hint="eastAsia" w:ascii="宋体" w:hAnsi="宋体" w:eastAsia="宋体" w:cs="宋体"/>
          <w:color w:val="auto"/>
          <w:highlight w:val="none"/>
        </w:rPr>
      </w:pPr>
      <w:r>
        <w:rPr>
          <w:rFonts w:hint="eastAsia" w:ascii="宋体" w:hAnsi="宋体" w:eastAsia="宋体" w:cs="宋体"/>
          <w:color w:val="auto"/>
          <w:sz w:val="24"/>
          <w:highlight w:val="none"/>
        </w:rPr>
        <w:t>中国仪器进出口集团有限公司：</w:t>
      </w:r>
    </w:p>
    <w:p>
      <w:pPr>
        <w:pStyle w:val="88"/>
        <w:rPr>
          <w:rFonts w:hint="eastAsia" w:ascii="宋体" w:hAnsi="宋体" w:eastAsia="宋体" w:cs="宋体"/>
          <w:color w:val="auto"/>
          <w:sz w:val="24"/>
          <w:highlight w:val="none"/>
        </w:rPr>
      </w:pPr>
    </w:p>
    <w:p>
      <w:pPr>
        <w:pStyle w:val="88"/>
        <w:spacing w:line="360" w:lineRule="auto"/>
        <w:ind w:firstLine="408"/>
        <w:rPr>
          <w:rFonts w:hint="eastAsia" w:ascii="宋体" w:hAnsi="宋体" w:eastAsia="宋体" w:cs="宋体"/>
          <w:color w:val="auto"/>
          <w:sz w:val="24"/>
          <w:highlight w:val="none"/>
        </w:rPr>
      </w:pPr>
    </w:p>
    <w:p>
      <w:pPr>
        <w:pStyle w:val="88"/>
        <w:spacing w:line="360" w:lineRule="auto"/>
        <w:ind w:firstLine="408"/>
        <w:rPr>
          <w:rFonts w:hint="eastAsia" w:ascii="宋体" w:hAnsi="宋体" w:eastAsia="宋体" w:cs="宋体"/>
          <w:color w:val="auto"/>
          <w:highlight w:val="none"/>
        </w:rPr>
      </w:pPr>
      <w:r>
        <w:rPr>
          <w:rFonts w:hint="eastAsia" w:ascii="宋体" w:hAnsi="宋体" w:eastAsia="宋体" w:cs="宋体"/>
          <w:color w:val="auto"/>
          <w:sz w:val="24"/>
          <w:highlight w:val="none"/>
        </w:rPr>
        <w:t>我单位在贵单位组织的</w:t>
      </w:r>
      <w:r>
        <w:rPr>
          <w:rFonts w:hint="eastAsia" w:ascii="宋体" w:hAnsi="宋体" w:eastAsia="宋体" w:cs="宋体"/>
          <w:color w:val="auto"/>
          <w:sz w:val="24"/>
          <w:highlight w:val="none"/>
          <w:u w:val="single"/>
        </w:rPr>
        <w:t xml:space="preserve"> （项目名称）（项目编号）</w:t>
      </w:r>
      <w:r>
        <w:rPr>
          <w:rFonts w:hint="eastAsia" w:ascii="宋体" w:hAnsi="宋体" w:eastAsia="宋体" w:cs="宋体"/>
          <w:color w:val="auto"/>
          <w:sz w:val="24"/>
          <w:highlight w:val="none"/>
        </w:rPr>
        <w:t>的磋商中若获得成交资格，我单位承诺在收到成交通知书后5个工作日内按磋商文件的规定向贵单位账户支付采购代理服务费。如我单位未按上述承诺支付采购代理服务费，贵单位有权取消我单位的成交资格并没收我方的保证金。由此产生的一切后果和责任由我单位承担。</w:t>
      </w:r>
    </w:p>
    <w:p>
      <w:pPr>
        <w:pStyle w:val="88"/>
        <w:ind w:firstLine="408"/>
        <w:rPr>
          <w:rFonts w:hint="eastAsia" w:ascii="宋体" w:hAnsi="宋体" w:eastAsia="宋体" w:cs="宋体"/>
          <w:color w:val="auto"/>
          <w:sz w:val="24"/>
          <w:highlight w:val="none"/>
        </w:rPr>
      </w:pPr>
    </w:p>
    <w:p>
      <w:pPr>
        <w:pStyle w:val="88"/>
        <w:rPr>
          <w:rFonts w:hint="eastAsia" w:ascii="宋体" w:hAnsi="宋体" w:eastAsia="宋体" w:cs="宋体"/>
          <w:color w:val="auto"/>
          <w:sz w:val="24"/>
          <w:highlight w:val="none"/>
        </w:rPr>
      </w:pPr>
    </w:p>
    <w:p>
      <w:pPr>
        <w:pStyle w:val="88"/>
        <w:ind w:firstLine="480"/>
        <w:rPr>
          <w:rFonts w:hint="eastAsia" w:ascii="宋体" w:hAnsi="宋体" w:eastAsia="宋体" w:cs="宋体"/>
          <w:color w:val="auto"/>
          <w:highlight w:val="none"/>
        </w:rPr>
      </w:pPr>
      <w:r>
        <w:rPr>
          <w:rFonts w:hint="eastAsia" w:ascii="宋体" w:hAnsi="宋体" w:eastAsia="宋体" w:cs="宋体"/>
          <w:color w:val="auto"/>
          <w:sz w:val="24"/>
          <w:highlight w:val="none"/>
        </w:rPr>
        <w:t>特此承诺。</w:t>
      </w:r>
    </w:p>
    <w:p>
      <w:pPr>
        <w:pStyle w:val="88"/>
        <w:rPr>
          <w:rFonts w:hint="eastAsia" w:ascii="宋体" w:hAnsi="宋体" w:eastAsia="宋体" w:cs="宋体"/>
          <w:color w:val="auto"/>
          <w:sz w:val="24"/>
          <w:highlight w:val="none"/>
        </w:rPr>
      </w:pPr>
    </w:p>
    <w:p>
      <w:pPr>
        <w:pStyle w:val="88"/>
        <w:rPr>
          <w:rFonts w:hint="eastAsia" w:ascii="宋体" w:hAnsi="宋体" w:eastAsia="宋体" w:cs="宋体"/>
          <w:color w:val="auto"/>
          <w:sz w:val="24"/>
          <w:highlight w:val="none"/>
        </w:rPr>
      </w:pPr>
    </w:p>
    <w:p>
      <w:pPr>
        <w:snapToGrid w:val="0"/>
        <w:spacing w:line="360" w:lineRule="auto"/>
        <w:rPr>
          <w:rFonts w:hint="eastAsia" w:ascii="宋体" w:hAnsi="宋体" w:eastAsia="宋体" w:cs="宋体"/>
          <w:b/>
          <w:bCs/>
          <w:color w:val="auto"/>
          <w:highlight w:val="none"/>
          <w:u w:val="single"/>
        </w:rPr>
      </w:pPr>
      <w:r>
        <w:rPr>
          <w:rFonts w:hint="eastAsia" w:ascii="宋体" w:hAnsi="宋体" w:eastAsia="宋体" w:cs="宋体"/>
          <w:b/>
          <w:bCs/>
          <w:color w:val="auto"/>
          <w:sz w:val="24"/>
          <w:highlight w:val="none"/>
        </w:rPr>
        <w:t>加盖供应商公章：</w:t>
      </w:r>
      <w:r>
        <w:rPr>
          <w:rFonts w:hint="eastAsia" w:ascii="宋体" w:hAnsi="宋体" w:eastAsia="宋体" w:cs="宋体"/>
          <w:b/>
          <w:bCs/>
          <w:color w:val="auto"/>
          <w:sz w:val="24"/>
          <w:highlight w:val="none"/>
          <w:u w:val="single"/>
        </w:rPr>
        <w:t xml:space="preserve">          </w:t>
      </w:r>
    </w:p>
    <w:p>
      <w:pPr>
        <w:pStyle w:val="104"/>
        <w:snapToGrid w:val="0"/>
        <w:spacing w:line="360" w:lineRule="auto"/>
        <w:rPr>
          <w:rFonts w:hint="eastAsia" w:ascii="宋体" w:hAnsi="宋体" w:eastAsia="宋体" w:cs="宋体"/>
          <w:b/>
          <w:bCs/>
          <w:color w:val="auto"/>
          <w:highlight w:val="none"/>
        </w:rPr>
      </w:pPr>
      <w:r>
        <w:rPr>
          <w:rFonts w:hint="eastAsia" w:ascii="宋体" w:hAnsi="宋体" w:eastAsia="宋体" w:cs="宋体"/>
          <w:b/>
          <w:bCs/>
          <w:color w:val="auto"/>
          <w:sz w:val="24"/>
          <w:highlight w:val="none"/>
        </w:rPr>
        <w:t>日期：</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 xml:space="preserve"> </w:t>
      </w:r>
    </w:p>
    <w:p>
      <w:pPr>
        <w:spacing w:line="400" w:lineRule="exact"/>
        <w:rPr>
          <w:rFonts w:hint="eastAsia" w:ascii="宋体" w:hAnsi="宋体" w:eastAsia="宋体" w:cs="宋体"/>
          <w:color w:val="auto"/>
          <w:sz w:val="24"/>
          <w:highlight w:val="none"/>
        </w:rPr>
      </w:pPr>
    </w:p>
    <w:p>
      <w:pPr>
        <w:jc w:val="center"/>
        <w:rPr>
          <w:rFonts w:hint="eastAsia" w:ascii="宋体" w:hAnsi="宋体" w:eastAsia="宋体" w:cs="宋体"/>
          <w:color w:val="auto"/>
          <w:highlight w:val="none"/>
        </w:rPr>
      </w:pPr>
    </w:p>
    <w:p>
      <w:pPr>
        <w:pStyle w:val="5"/>
        <w:pageBreakBefore/>
        <w:snapToGrid w:val="0"/>
        <w:spacing w:line="300" w:lineRule="auto"/>
        <w:jc w:val="center"/>
        <w:rPr>
          <w:rFonts w:hint="eastAsia" w:ascii="宋体" w:hAnsi="宋体" w:eastAsia="宋体" w:cs="宋体"/>
          <w:color w:val="auto"/>
          <w:highlight w:val="none"/>
        </w:rPr>
      </w:pPr>
      <w:bookmarkStart w:id="769" w:name="_Toc10818"/>
      <w:bookmarkStart w:id="770" w:name="_Toc27919"/>
      <w:bookmarkStart w:id="771" w:name="_Toc21562"/>
      <w:bookmarkStart w:id="772" w:name="_Toc27304"/>
      <w:bookmarkStart w:id="773" w:name="_Toc27965"/>
      <w:bookmarkStart w:id="774" w:name="_Toc21115"/>
      <w:r>
        <w:rPr>
          <w:rFonts w:hint="eastAsia" w:ascii="宋体" w:hAnsi="宋体" w:eastAsia="宋体" w:cs="宋体"/>
          <w:color w:val="auto"/>
          <w:highlight w:val="none"/>
        </w:rPr>
        <w:t>▲附件1.4 参加本次采购活动前三年内在经营活动中没有重大违法记录的声明</w:t>
      </w:r>
      <w:bookmarkEnd w:id="769"/>
      <w:bookmarkEnd w:id="770"/>
      <w:bookmarkEnd w:id="771"/>
      <w:bookmarkEnd w:id="772"/>
      <w:bookmarkEnd w:id="773"/>
      <w:bookmarkEnd w:id="774"/>
    </w:p>
    <w:p>
      <w:pPr>
        <w:pStyle w:val="123"/>
        <w:snapToGrid w:val="0"/>
        <w:spacing w:line="30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（具体内容由供应商自行填写）</w:t>
      </w:r>
    </w:p>
    <w:p>
      <w:pPr>
        <w:pStyle w:val="123"/>
        <w:snapToGrid w:val="0"/>
        <w:spacing w:line="300" w:lineRule="auto"/>
        <w:rPr>
          <w:rFonts w:hint="eastAsia" w:ascii="宋体" w:hAnsi="宋体" w:eastAsia="宋体" w:cs="宋体"/>
          <w:color w:val="auto"/>
          <w:highlight w:val="none"/>
        </w:rPr>
      </w:pPr>
    </w:p>
    <w:p>
      <w:pPr>
        <w:pStyle w:val="123"/>
        <w:snapToGrid w:val="0"/>
        <w:spacing w:line="300" w:lineRule="auto"/>
        <w:rPr>
          <w:rFonts w:hint="eastAsia" w:ascii="宋体" w:hAnsi="宋体" w:eastAsia="宋体" w:cs="宋体"/>
          <w:color w:val="auto"/>
          <w:highlight w:val="none"/>
        </w:rPr>
      </w:pPr>
    </w:p>
    <w:p>
      <w:pPr>
        <w:snapToGrid w:val="0"/>
        <w:spacing w:line="360" w:lineRule="auto"/>
        <w:rPr>
          <w:rFonts w:hint="eastAsia" w:ascii="宋体" w:hAnsi="宋体" w:eastAsia="宋体" w:cs="宋体"/>
          <w:b/>
          <w:bCs/>
          <w:color w:val="auto"/>
          <w:highlight w:val="none"/>
          <w:u w:val="single"/>
        </w:rPr>
      </w:pPr>
      <w:r>
        <w:rPr>
          <w:rFonts w:hint="eastAsia" w:ascii="宋体" w:hAnsi="宋体" w:eastAsia="宋体" w:cs="宋体"/>
          <w:b/>
          <w:bCs/>
          <w:color w:val="auto"/>
          <w:sz w:val="24"/>
          <w:highlight w:val="none"/>
        </w:rPr>
        <w:t>加盖供应商公章：</w:t>
      </w:r>
      <w:r>
        <w:rPr>
          <w:rFonts w:hint="eastAsia" w:ascii="宋体" w:hAnsi="宋体" w:eastAsia="宋体" w:cs="宋体"/>
          <w:b/>
          <w:bCs/>
          <w:color w:val="auto"/>
          <w:sz w:val="24"/>
          <w:highlight w:val="none"/>
          <w:u w:val="single"/>
        </w:rPr>
        <w:t xml:space="preserve">          </w:t>
      </w:r>
    </w:p>
    <w:p>
      <w:pPr>
        <w:pStyle w:val="104"/>
        <w:snapToGrid w:val="0"/>
        <w:spacing w:line="360" w:lineRule="auto"/>
        <w:rPr>
          <w:rFonts w:hint="eastAsia" w:ascii="宋体" w:hAnsi="宋体" w:eastAsia="宋体" w:cs="宋体"/>
          <w:b/>
          <w:bCs/>
          <w:color w:val="auto"/>
          <w:highlight w:val="none"/>
        </w:rPr>
      </w:pPr>
      <w:r>
        <w:rPr>
          <w:rFonts w:hint="eastAsia" w:ascii="宋体" w:hAnsi="宋体" w:eastAsia="宋体" w:cs="宋体"/>
          <w:b/>
          <w:bCs/>
          <w:color w:val="auto"/>
          <w:sz w:val="24"/>
          <w:highlight w:val="none"/>
        </w:rPr>
        <w:t>日期：</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 xml:space="preserve"> </w:t>
      </w:r>
    </w:p>
    <w:p>
      <w:pPr>
        <w:snapToGrid w:val="0"/>
        <w:spacing w:line="300" w:lineRule="auto"/>
        <w:rPr>
          <w:rFonts w:hint="eastAsia" w:ascii="宋体" w:hAnsi="宋体" w:eastAsia="宋体" w:cs="宋体"/>
          <w:color w:val="auto"/>
          <w:sz w:val="24"/>
          <w:highlight w:val="none"/>
        </w:rPr>
      </w:pPr>
    </w:p>
    <w:p>
      <w:pPr>
        <w:pStyle w:val="5"/>
        <w:snapToGrid w:val="0"/>
        <w:spacing w:line="300" w:lineRule="auto"/>
        <w:jc w:val="center"/>
        <w:rPr>
          <w:rFonts w:hint="eastAsia" w:ascii="宋体" w:hAnsi="宋体" w:eastAsia="宋体" w:cs="宋体"/>
          <w:color w:val="auto"/>
          <w:highlight w:val="none"/>
        </w:rPr>
      </w:pPr>
      <w:bookmarkStart w:id="775" w:name="_Toc13607"/>
      <w:bookmarkStart w:id="776" w:name="_Toc24590"/>
      <w:bookmarkStart w:id="777" w:name="_Toc62"/>
      <w:bookmarkStart w:id="778" w:name="_Toc11298"/>
      <w:bookmarkStart w:id="779" w:name="_Toc22378"/>
      <w:bookmarkStart w:id="780" w:name="_Toc11632"/>
      <w:bookmarkStart w:id="781" w:name="_Toc31808"/>
      <w:bookmarkStart w:id="782" w:name="_Toc23855"/>
      <w:bookmarkStart w:id="783" w:name="_Toc1801"/>
      <w:bookmarkStart w:id="784" w:name="_Toc31741"/>
      <w:bookmarkStart w:id="785" w:name="_Toc32457"/>
      <w:bookmarkStart w:id="786" w:name="_Toc26272"/>
      <w:bookmarkStart w:id="787" w:name="_Toc23387"/>
      <w:r>
        <w:rPr>
          <w:rFonts w:hint="eastAsia" w:ascii="宋体" w:hAnsi="宋体" w:eastAsia="宋体" w:cs="宋体"/>
          <w:color w:val="auto"/>
          <w:highlight w:val="none"/>
        </w:rPr>
        <w:t>▲附件1.5 具有独立承担民事责任能力的证明文件</w:t>
      </w:r>
      <w:bookmarkEnd w:id="775"/>
      <w:bookmarkEnd w:id="776"/>
      <w:bookmarkEnd w:id="777"/>
      <w:bookmarkEnd w:id="778"/>
      <w:bookmarkEnd w:id="779"/>
      <w:bookmarkEnd w:id="780"/>
      <w:bookmarkEnd w:id="781"/>
      <w:bookmarkEnd w:id="782"/>
      <w:bookmarkEnd w:id="783"/>
      <w:bookmarkEnd w:id="784"/>
      <w:bookmarkEnd w:id="785"/>
      <w:bookmarkEnd w:id="786"/>
      <w:bookmarkEnd w:id="787"/>
    </w:p>
    <w:p>
      <w:pPr>
        <w:pStyle w:val="123"/>
        <w:snapToGrid w:val="0"/>
        <w:spacing w:line="30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（按照采购文件第二章第一部分第10.1条中的相关要求提供）</w:t>
      </w:r>
    </w:p>
    <w:p>
      <w:pPr>
        <w:pStyle w:val="94"/>
        <w:snapToGrid w:val="0"/>
        <w:spacing w:line="300" w:lineRule="auto"/>
        <w:rPr>
          <w:rFonts w:hint="eastAsia" w:ascii="宋体" w:hAnsi="宋体" w:eastAsia="宋体" w:cs="宋体"/>
          <w:color w:val="auto"/>
          <w:highlight w:val="none"/>
        </w:rPr>
      </w:pPr>
    </w:p>
    <w:p>
      <w:pPr>
        <w:snapToGrid w:val="0"/>
        <w:spacing w:line="360" w:lineRule="auto"/>
        <w:rPr>
          <w:rFonts w:hint="eastAsia" w:ascii="宋体" w:hAnsi="宋体" w:eastAsia="宋体" w:cs="宋体"/>
          <w:b/>
          <w:bCs/>
          <w:color w:val="auto"/>
          <w:highlight w:val="none"/>
          <w:u w:val="single"/>
        </w:rPr>
      </w:pPr>
      <w:r>
        <w:rPr>
          <w:rFonts w:hint="eastAsia" w:ascii="宋体" w:hAnsi="宋体" w:eastAsia="宋体" w:cs="宋体"/>
          <w:b/>
          <w:bCs/>
          <w:color w:val="auto"/>
          <w:sz w:val="24"/>
          <w:highlight w:val="none"/>
        </w:rPr>
        <w:t>加盖供应商公章：</w:t>
      </w:r>
      <w:r>
        <w:rPr>
          <w:rFonts w:hint="eastAsia" w:ascii="宋体" w:hAnsi="宋体" w:eastAsia="宋体" w:cs="宋体"/>
          <w:b/>
          <w:bCs/>
          <w:color w:val="auto"/>
          <w:sz w:val="24"/>
          <w:highlight w:val="none"/>
          <w:u w:val="single"/>
        </w:rPr>
        <w:t xml:space="preserve">          </w:t>
      </w:r>
    </w:p>
    <w:p>
      <w:pPr>
        <w:pStyle w:val="94"/>
        <w:snapToGrid w:val="0"/>
        <w:spacing w:line="300" w:lineRule="auto"/>
        <w:rPr>
          <w:rFonts w:hint="eastAsia" w:ascii="宋体" w:hAnsi="宋体" w:eastAsia="宋体" w:cs="宋体"/>
          <w:color w:val="auto"/>
          <w:highlight w:val="none"/>
        </w:rPr>
      </w:pPr>
    </w:p>
    <w:p>
      <w:pPr>
        <w:snapToGrid w:val="0"/>
        <w:spacing w:line="300" w:lineRule="auto"/>
        <w:jc w:val="center"/>
        <w:rPr>
          <w:rFonts w:hint="eastAsia" w:ascii="宋体" w:hAnsi="宋体" w:eastAsia="宋体" w:cs="宋体"/>
          <w:color w:val="auto"/>
          <w:sz w:val="24"/>
          <w:highlight w:val="none"/>
        </w:rPr>
      </w:pPr>
    </w:p>
    <w:p>
      <w:pPr>
        <w:pStyle w:val="5"/>
        <w:snapToGrid w:val="0"/>
        <w:spacing w:line="300" w:lineRule="auto"/>
        <w:jc w:val="center"/>
        <w:rPr>
          <w:rFonts w:hint="eastAsia" w:ascii="宋体" w:hAnsi="宋体" w:eastAsia="宋体" w:cs="宋体"/>
          <w:color w:val="auto"/>
          <w:highlight w:val="none"/>
        </w:rPr>
      </w:pPr>
      <w:bookmarkStart w:id="788" w:name="_Toc32225"/>
      <w:bookmarkStart w:id="789" w:name="_Toc27492"/>
      <w:bookmarkStart w:id="790" w:name="_Toc24007"/>
      <w:bookmarkStart w:id="791" w:name="_Toc7948"/>
      <w:bookmarkStart w:id="792" w:name="_Toc14977"/>
      <w:bookmarkStart w:id="793" w:name="_Toc2726"/>
      <w:bookmarkStart w:id="794" w:name="_Toc30443"/>
      <w:bookmarkStart w:id="795" w:name="_Toc14617"/>
      <w:bookmarkStart w:id="796" w:name="_Toc29307"/>
      <w:bookmarkStart w:id="797" w:name="_Toc9575"/>
      <w:bookmarkStart w:id="798" w:name="_Toc8543"/>
      <w:bookmarkStart w:id="799" w:name="_Toc9813"/>
      <w:bookmarkStart w:id="800" w:name="_Toc15185"/>
      <w:r>
        <w:rPr>
          <w:rFonts w:hint="eastAsia" w:ascii="宋体" w:hAnsi="宋体" w:eastAsia="宋体" w:cs="宋体"/>
          <w:color w:val="auto"/>
          <w:highlight w:val="none"/>
        </w:rPr>
        <w:t>▲附件1.6 依法缴纳税收和社会保障资金记录</w:t>
      </w:r>
      <w:bookmarkEnd w:id="788"/>
      <w:bookmarkEnd w:id="789"/>
      <w:bookmarkEnd w:id="790"/>
      <w:bookmarkEnd w:id="791"/>
      <w:bookmarkEnd w:id="792"/>
      <w:bookmarkEnd w:id="793"/>
      <w:bookmarkEnd w:id="794"/>
      <w:bookmarkEnd w:id="795"/>
      <w:bookmarkEnd w:id="796"/>
      <w:bookmarkEnd w:id="797"/>
      <w:bookmarkEnd w:id="798"/>
      <w:bookmarkEnd w:id="799"/>
      <w:bookmarkEnd w:id="800"/>
    </w:p>
    <w:p>
      <w:pPr>
        <w:pStyle w:val="123"/>
        <w:snapToGrid w:val="0"/>
        <w:spacing w:line="30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（按照采购文件第二章第一部分第10.1条中的相关要求提供）</w:t>
      </w:r>
    </w:p>
    <w:p>
      <w:pPr>
        <w:snapToGrid w:val="0"/>
        <w:spacing w:line="300" w:lineRule="auto"/>
        <w:rPr>
          <w:rFonts w:hint="eastAsia" w:ascii="宋体" w:hAnsi="宋体" w:eastAsia="宋体" w:cs="宋体"/>
          <w:color w:val="auto"/>
          <w:sz w:val="24"/>
          <w:highlight w:val="none"/>
        </w:rPr>
      </w:pPr>
    </w:p>
    <w:p>
      <w:pPr>
        <w:snapToGrid w:val="0"/>
        <w:spacing w:line="360" w:lineRule="auto"/>
        <w:rPr>
          <w:rFonts w:hint="eastAsia" w:ascii="宋体" w:hAnsi="宋体" w:eastAsia="宋体" w:cs="宋体"/>
          <w:b/>
          <w:bCs/>
          <w:color w:val="auto"/>
          <w:highlight w:val="none"/>
          <w:u w:val="single"/>
        </w:rPr>
      </w:pPr>
      <w:r>
        <w:rPr>
          <w:rFonts w:hint="eastAsia" w:ascii="宋体" w:hAnsi="宋体" w:eastAsia="宋体" w:cs="宋体"/>
          <w:b/>
          <w:bCs/>
          <w:color w:val="auto"/>
          <w:sz w:val="24"/>
          <w:highlight w:val="none"/>
        </w:rPr>
        <w:t>加盖供应商公章：</w:t>
      </w:r>
      <w:r>
        <w:rPr>
          <w:rFonts w:hint="eastAsia" w:ascii="宋体" w:hAnsi="宋体" w:eastAsia="宋体" w:cs="宋体"/>
          <w:b/>
          <w:bCs/>
          <w:color w:val="auto"/>
          <w:sz w:val="24"/>
          <w:highlight w:val="none"/>
          <w:u w:val="single"/>
        </w:rPr>
        <w:t xml:space="preserve">          </w:t>
      </w:r>
    </w:p>
    <w:p>
      <w:pPr>
        <w:snapToGrid w:val="0"/>
        <w:spacing w:line="300" w:lineRule="auto"/>
        <w:rPr>
          <w:rFonts w:hint="eastAsia" w:ascii="宋体" w:hAnsi="宋体" w:eastAsia="宋体" w:cs="宋体"/>
          <w:color w:val="auto"/>
          <w:sz w:val="24"/>
          <w:highlight w:val="none"/>
        </w:rPr>
      </w:pPr>
    </w:p>
    <w:p>
      <w:pPr>
        <w:snapToGrid w:val="0"/>
        <w:spacing w:line="300" w:lineRule="auto"/>
        <w:rPr>
          <w:rFonts w:hint="eastAsia" w:ascii="宋体" w:hAnsi="宋体" w:eastAsia="宋体" w:cs="宋体"/>
          <w:color w:val="auto"/>
          <w:sz w:val="24"/>
          <w:highlight w:val="none"/>
        </w:rPr>
      </w:pPr>
    </w:p>
    <w:p>
      <w:pPr>
        <w:pStyle w:val="5"/>
        <w:snapToGrid w:val="0"/>
        <w:spacing w:line="300" w:lineRule="auto"/>
        <w:jc w:val="center"/>
        <w:rPr>
          <w:rFonts w:hint="eastAsia" w:ascii="宋体" w:hAnsi="宋体" w:eastAsia="宋体" w:cs="宋体"/>
          <w:color w:val="auto"/>
          <w:highlight w:val="none"/>
        </w:rPr>
      </w:pPr>
      <w:bookmarkStart w:id="801" w:name="_Toc6174"/>
      <w:bookmarkStart w:id="802" w:name="_Toc28733"/>
      <w:bookmarkStart w:id="803" w:name="_Toc2175"/>
      <w:bookmarkStart w:id="804" w:name="_Toc701"/>
      <w:bookmarkStart w:id="805" w:name="_Toc17702"/>
      <w:bookmarkStart w:id="806" w:name="_Toc17067"/>
      <w:bookmarkStart w:id="807" w:name="_Toc16069"/>
      <w:bookmarkStart w:id="808" w:name="_Toc12913"/>
      <w:bookmarkStart w:id="809" w:name="_Toc22554"/>
      <w:bookmarkStart w:id="810" w:name="_Toc24976"/>
      <w:bookmarkStart w:id="811" w:name="_Toc27351"/>
      <w:bookmarkStart w:id="812" w:name="_Toc32296"/>
      <w:bookmarkStart w:id="813" w:name="_Toc15918"/>
      <w:r>
        <w:rPr>
          <w:rFonts w:hint="eastAsia" w:ascii="宋体" w:hAnsi="宋体" w:eastAsia="宋体" w:cs="宋体"/>
          <w:color w:val="auto"/>
          <w:highlight w:val="none"/>
        </w:rPr>
        <w:t>▲附件1.7 审计报告或银行资信证明</w:t>
      </w:r>
      <w:bookmarkEnd w:id="801"/>
      <w:bookmarkEnd w:id="802"/>
      <w:bookmarkEnd w:id="803"/>
      <w:bookmarkEnd w:id="804"/>
      <w:bookmarkEnd w:id="805"/>
      <w:bookmarkEnd w:id="806"/>
      <w:bookmarkEnd w:id="807"/>
      <w:bookmarkEnd w:id="808"/>
      <w:bookmarkEnd w:id="809"/>
      <w:bookmarkEnd w:id="810"/>
      <w:bookmarkEnd w:id="811"/>
      <w:bookmarkEnd w:id="812"/>
      <w:bookmarkEnd w:id="813"/>
    </w:p>
    <w:p>
      <w:pPr>
        <w:pStyle w:val="123"/>
        <w:snapToGrid w:val="0"/>
        <w:spacing w:line="30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（按照采购文件第二章第一部分第10.1条中的相关要求提供）</w:t>
      </w:r>
    </w:p>
    <w:p>
      <w:pPr>
        <w:snapToGrid w:val="0"/>
        <w:spacing w:line="300" w:lineRule="auto"/>
        <w:rPr>
          <w:rFonts w:hint="eastAsia" w:ascii="宋体" w:hAnsi="宋体" w:eastAsia="宋体" w:cs="宋体"/>
          <w:color w:val="auto"/>
          <w:sz w:val="24"/>
          <w:highlight w:val="none"/>
        </w:rPr>
      </w:pPr>
    </w:p>
    <w:p>
      <w:pPr>
        <w:snapToGrid w:val="0"/>
        <w:spacing w:line="360" w:lineRule="auto"/>
        <w:rPr>
          <w:rFonts w:hint="eastAsia" w:ascii="宋体" w:hAnsi="宋体" w:eastAsia="宋体" w:cs="宋体"/>
          <w:b/>
          <w:bCs/>
          <w:color w:val="auto"/>
          <w:highlight w:val="none"/>
          <w:u w:val="single"/>
        </w:rPr>
      </w:pPr>
      <w:r>
        <w:rPr>
          <w:rFonts w:hint="eastAsia" w:ascii="宋体" w:hAnsi="宋体" w:eastAsia="宋体" w:cs="宋体"/>
          <w:b/>
          <w:bCs/>
          <w:color w:val="auto"/>
          <w:sz w:val="24"/>
          <w:highlight w:val="none"/>
        </w:rPr>
        <w:t>加盖供应商公章：</w:t>
      </w:r>
      <w:r>
        <w:rPr>
          <w:rFonts w:hint="eastAsia" w:ascii="宋体" w:hAnsi="宋体" w:eastAsia="宋体" w:cs="宋体"/>
          <w:b/>
          <w:bCs/>
          <w:color w:val="auto"/>
          <w:sz w:val="24"/>
          <w:highlight w:val="none"/>
          <w:u w:val="single"/>
        </w:rPr>
        <w:t xml:space="preserve">          </w:t>
      </w:r>
    </w:p>
    <w:p>
      <w:pPr>
        <w:pStyle w:val="5"/>
        <w:snapToGrid w:val="0"/>
        <w:spacing w:line="300" w:lineRule="auto"/>
        <w:jc w:val="cente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5"/>
        <w:adjustRightInd w:val="0"/>
        <w:snapToGrid w:val="0"/>
        <w:spacing w:line="300" w:lineRule="auto"/>
        <w:jc w:val="center"/>
        <w:rPr>
          <w:rFonts w:hint="eastAsia" w:ascii="宋体" w:hAnsi="宋体" w:eastAsia="宋体" w:cs="宋体"/>
          <w:color w:val="auto"/>
          <w:highlight w:val="none"/>
        </w:rPr>
      </w:pPr>
      <w:bookmarkStart w:id="814" w:name="_Toc11659"/>
      <w:bookmarkStart w:id="815" w:name="_Toc31046"/>
      <w:bookmarkStart w:id="816" w:name="_Toc1245"/>
      <w:bookmarkStart w:id="817" w:name="_Toc32335"/>
      <w:bookmarkStart w:id="818" w:name="_Toc15861"/>
      <w:bookmarkStart w:id="819" w:name="_Toc30980"/>
      <w:bookmarkStart w:id="820" w:name="_Toc11748"/>
      <w:bookmarkStart w:id="821" w:name="_Toc12402"/>
      <w:bookmarkStart w:id="822" w:name="_Toc8211"/>
      <w:bookmarkStart w:id="823" w:name="_Toc3046"/>
      <w:bookmarkStart w:id="824" w:name="_Toc17124"/>
      <w:bookmarkStart w:id="825" w:name="_Toc14180"/>
      <w:bookmarkStart w:id="826" w:name="_Toc6092"/>
      <w:bookmarkStart w:id="827" w:name="_Toc14672"/>
      <w:r>
        <w:rPr>
          <w:rFonts w:hint="eastAsia" w:ascii="宋体" w:hAnsi="宋体" w:eastAsia="宋体" w:cs="宋体"/>
          <w:color w:val="auto"/>
          <w:highlight w:val="none"/>
        </w:rPr>
        <w:t>▲附件1.8</w:t>
      </w:r>
      <w:bookmarkEnd w:id="814"/>
      <w:bookmarkEnd w:id="815"/>
      <w:bookmarkEnd w:id="816"/>
      <w:bookmarkEnd w:id="817"/>
      <w:bookmarkEnd w:id="818"/>
      <w:bookmarkEnd w:id="819"/>
      <w:bookmarkEnd w:id="820"/>
      <w:bookmarkEnd w:id="821"/>
      <w:bookmarkEnd w:id="822"/>
      <w:bookmarkEnd w:id="823"/>
      <w:bookmarkEnd w:id="824"/>
      <w:bookmarkEnd w:id="825"/>
      <w:r>
        <w:rPr>
          <w:rFonts w:hint="eastAsia" w:ascii="宋体" w:hAnsi="宋体" w:eastAsia="宋体" w:cs="宋体"/>
          <w:color w:val="auto"/>
          <w:highlight w:val="none"/>
        </w:rPr>
        <w:t>“信用中国”、“中国政府采购网”网站查询结果承诺</w:t>
      </w:r>
      <w:bookmarkEnd w:id="826"/>
      <w:bookmarkEnd w:id="827"/>
    </w:p>
    <w:p>
      <w:pPr>
        <w:pStyle w:val="123"/>
        <w:snapToGrid w:val="0"/>
        <w:spacing w:line="30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我单位承诺到递交响应文件截止日之时未被列入“信用中国”网站(www.creditchina.gov.cn)失信惩戒当事人名单及“中国政府采购网”网站（www.ccgp.gov.cn）政府采购严重违法失信行为记录名单。</w:t>
      </w:r>
    </w:p>
    <w:p>
      <w:pPr>
        <w:pStyle w:val="123"/>
        <w:snapToGrid w:val="0"/>
        <w:spacing w:line="300" w:lineRule="auto"/>
        <w:ind w:firstLine="480"/>
        <w:rPr>
          <w:rFonts w:hint="eastAsia" w:ascii="宋体" w:hAnsi="宋体" w:eastAsia="宋体" w:cs="宋体"/>
          <w:color w:val="auto"/>
          <w:sz w:val="24"/>
          <w:szCs w:val="24"/>
          <w:highlight w:val="none"/>
        </w:rPr>
      </w:pPr>
    </w:p>
    <w:p>
      <w:pPr>
        <w:snapToGrid w:val="0"/>
        <w:spacing w:line="360" w:lineRule="auto"/>
        <w:rPr>
          <w:rFonts w:hint="eastAsia" w:ascii="宋体" w:hAnsi="宋体" w:eastAsia="宋体" w:cs="宋体"/>
          <w:b/>
          <w:bCs/>
          <w:color w:val="auto"/>
          <w:highlight w:val="none"/>
          <w:u w:val="single"/>
        </w:rPr>
      </w:pPr>
      <w:r>
        <w:rPr>
          <w:rFonts w:hint="eastAsia" w:ascii="宋体" w:hAnsi="宋体" w:eastAsia="宋体" w:cs="宋体"/>
          <w:b/>
          <w:bCs/>
          <w:color w:val="auto"/>
          <w:sz w:val="24"/>
          <w:highlight w:val="none"/>
        </w:rPr>
        <w:t>加盖供应商公章：</w:t>
      </w:r>
      <w:r>
        <w:rPr>
          <w:rFonts w:hint="eastAsia" w:ascii="宋体" w:hAnsi="宋体" w:eastAsia="宋体" w:cs="宋体"/>
          <w:b/>
          <w:bCs/>
          <w:color w:val="auto"/>
          <w:sz w:val="24"/>
          <w:highlight w:val="none"/>
          <w:u w:val="single"/>
        </w:rPr>
        <w:t xml:space="preserve">          </w:t>
      </w:r>
    </w:p>
    <w:p>
      <w:pPr>
        <w:pStyle w:val="104"/>
        <w:snapToGrid w:val="0"/>
        <w:spacing w:line="360" w:lineRule="auto"/>
        <w:rPr>
          <w:rFonts w:hint="eastAsia" w:ascii="宋体" w:hAnsi="宋体" w:eastAsia="宋体" w:cs="宋体"/>
          <w:b/>
          <w:bCs/>
          <w:color w:val="auto"/>
          <w:highlight w:val="none"/>
        </w:rPr>
      </w:pPr>
      <w:r>
        <w:rPr>
          <w:rFonts w:hint="eastAsia" w:ascii="宋体" w:hAnsi="宋体" w:eastAsia="宋体" w:cs="宋体"/>
          <w:b/>
          <w:bCs/>
          <w:color w:val="auto"/>
          <w:sz w:val="24"/>
          <w:highlight w:val="none"/>
        </w:rPr>
        <w:t>日期：</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 xml:space="preserve"> </w:t>
      </w:r>
    </w:p>
    <w:p>
      <w:pPr>
        <w:pStyle w:val="123"/>
        <w:snapToGrid w:val="0"/>
        <w:spacing w:line="300" w:lineRule="auto"/>
        <w:rPr>
          <w:rFonts w:hint="eastAsia" w:ascii="宋体" w:hAnsi="宋体" w:eastAsia="宋体" w:cs="宋体"/>
          <w:bCs/>
          <w:color w:val="auto"/>
          <w:highlight w:val="none"/>
        </w:rPr>
      </w:pPr>
    </w:p>
    <w:p>
      <w:pPr>
        <w:pStyle w:val="123"/>
        <w:snapToGrid w:val="0"/>
        <w:spacing w:line="300" w:lineRule="auto"/>
        <w:rPr>
          <w:rFonts w:hint="eastAsia" w:ascii="宋体" w:hAnsi="宋体" w:eastAsia="宋体" w:cs="宋体"/>
          <w:bCs/>
          <w:color w:val="auto"/>
          <w:highlight w:val="none"/>
        </w:rPr>
      </w:pPr>
    </w:p>
    <w:p>
      <w:pPr>
        <w:pStyle w:val="123"/>
        <w:snapToGrid w:val="0"/>
        <w:spacing w:line="300" w:lineRule="auto"/>
        <w:rPr>
          <w:rFonts w:hint="eastAsia" w:ascii="宋体" w:hAnsi="宋体" w:eastAsia="宋体" w:cs="宋体"/>
          <w:bCs/>
          <w:color w:val="auto"/>
          <w:highlight w:val="none"/>
        </w:rPr>
      </w:pPr>
    </w:p>
    <w:p>
      <w:pPr>
        <w:pStyle w:val="123"/>
        <w:snapToGrid w:val="0"/>
        <w:spacing w:line="300" w:lineRule="auto"/>
        <w:rPr>
          <w:rFonts w:hint="eastAsia" w:ascii="宋体" w:hAnsi="宋体" w:eastAsia="宋体" w:cs="宋体"/>
          <w:bCs/>
          <w:color w:val="auto"/>
          <w:highlight w:val="none"/>
        </w:rPr>
      </w:pPr>
    </w:p>
    <w:p>
      <w:pPr>
        <w:pStyle w:val="5"/>
        <w:adjustRightInd w:val="0"/>
        <w:spacing w:line="300" w:lineRule="auto"/>
        <w:jc w:val="center"/>
        <w:rPr>
          <w:rFonts w:hint="eastAsia" w:ascii="宋体" w:hAnsi="宋体" w:eastAsia="宋体" w:cs="宋体"/>
          <w:color w:val="auto"/>
          <w:sz w:val="24"/>
          <w:szCs w:val="24"/>
          <w:highlight w:val="none"/>
        </w:rPr>
      </w:pPr>
      <w:bookmarkStart w:id="828" w:name="_Toc7597"/>
      <w:bookmarkStart w:id="829" w:name="_Toc20211665"/>
      <w:bookmarkStart w:id="830" w:name="_Toc2521"/>
      <w:bookmarkStart w:id="831" w:name="_Toc29469"/>
      <w:bookmarkStart w:id="832" w:name="_Toc14362"/>
      <w:bookmarkStart w:id="833" w:name="_Toc2418"/>
      <w:bookmarkStart w:id="834" w:name="_Toc26217"/>
      <w:bookmarkStart w:id="835" w:name="_Toc30718"/>
      <w:r>
        <w:rPr>
          <w:rFonts w:hint="eastAsia" w:ascii="宋体" w:hAnsi="宋体" w:eastAsia="宋体" w:cs="宋体"/>
          <w:color w:val="auto"/>
          <w:szCs w:val="32"/>
          <w:highlight w:val="none"/>
        </w:rPr>
        <w:t>▲附件1.9 未违反《中华人民共和国政府采购法实施条例》第十八条规定的承诺</w:t>
      </w:r>
      <w:bookmarkEnd w:id="828"/>
      <w:bookmarkEnd w:id="829"/>
      <w:bookmarkEnd w:id="830"/>
      <w:bookmarkEnd w:id="831"/>
      <w:bookmarkEnd w:id="832"/>
      <w:bookmarkEnd w:id="833"/>
      <w:bookmarkEnd w:id="834"/>
      <w:bookmarkEnd w:id="835"/>
    </w:p>
    <w:p>
      <w:pPr>
        <w:adjustRightInd w:val="0"/>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我单位承诺：我单位未违反《中华人民共和国政府采购法实施条例》第十八条的规定。</w:t>
      </w:r>
    </w:p>
    <w:p>
      <w:pPr>
        <w:adjustRightInd w:val="0"/>
        <w:snapToGrid w:val="0"/>
        <w:spacing w:line="300" w:lineRule="auto"/>
        <w:rPr>
          <w:rFonts w:hint="eastAsia" w:ascii="宋体" w:hAnsi="宋体" w:eastAsia="宋体" w:cs="宋体"/>
          <w:color w:val="auto"/>
          <w:sz w:val="24"/>
          <w:szCs w:val="24"/>
          <w:highlight w:val="none"/>
        </w:rPr>
      </w:pPr>
    </w:p>
    <w:p>
      <w:pPr>
        <w:adjustRightInd w:val="0"/>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adjustRightInd w:val="0"/>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《中华人民共和国政府采购法实施条例》</w:t>
      </w:r>
    </w:p>
    <w:p>
      <w:pPr>
        <w:numPr>
          <w:ilvl w:val="0"/>
          <w:numId w:val="3"/>
        </w:numPr>
        <w:adjustRightInd w:val="0"/>
        <w:snapToGrid w:val="0"/>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单位负责人为同一人或者存在直接控股、管理关系的不同供应商，不得参加同一合同项下的政府采购活动。</w:t>
      </w:r>
    </w:p>
    <w:p>
      <w:pPr>
        <w:adjustRightInd w:val="0"/>
        <w:snapToGrid w:val="0"/>
        <w:spacing w:line="300" w:lineRule="auto"/>
        <w:rPr>
          <w:rFonts w:hint="eastAsia" w:ascii="宋体" w:hAnsi="宋体" w:eastAsia="宋体" w:cs="宋体"/>
          <w:color w:val="auto"/>
          <w:sz w:val="24"/>
          <w:szCs w:val="24"/>
          <w:highlight w:val="none"/>
        </w:rPr>
      </w:pPr>
    </w:p>
    <w:p>
      <w:pPr>
        <w:snapToGrid w:val="0"/>
        <w:spacing w:line="360" w:lineRule="auto"/>
        <w:rPr>
          <w:rFonts w:hint="eastAsia" w:ascii="宋体" w:hAnsi="宋体" w:eastAsia="宋体" w:cs="宋体"/>
          <w:b/>
          <w:bCs/>
          <w:color w:val="auto"/>
          <w:highlight w:val="none"/>
          <w:u w:val="single"/>
        </w:rPr>
      </w:pPr>
      <w:r>
        <w:rPr>
          <w:rFonts w:hint="eastAsia" w:ascii="宋体" w:hAnsi="宋体" w:eastAsia="宋体" w:cs="宋体"/>
          <w:b/>
          <w:bCs/>
          <w:color w:val="auto"/>
          <w:sz w:val="24"/>
          <w:highlight w:val="none"/>
        </w:rPr>
        <w:t>加盖供应商公章：</w:t>
      </w:r>
      <w:r>
        <w:rPr>
          <w:rFonts w:hint="eastAsia" w:ascii="宋体" w:hAnsi="宋体" w:eastAsia="宋体" w:cs="宋体"/>
          <w:b/>
          <w:bCs/>
          <w:color w:val="auto"/>
          <w:sz w:val="24"/>
          <w:highlight w:val="none"/>
          <w:u w:val="single"/>
        </w:rPr>
        <w:t xml:space="preserve">          </w:t>
      </w:r>
    </w:p>
    <w:p>
      <w:pPr>
        <w:pStyle w:val="104"/>
        <w:snapToGrid w:val="0"/>
        <w:spacing w:line="360" w:lineRule="auto"/>
        <w:rPr>
          <w:rFonts w:hint="eastAsia" w:ascii="宋体" w:hAnsi="宋体" w:eastAsia="宋体" w:cs="宋体"/>
          <w:b/>
          <w:bCs/>
          <w:color w:val="auto"/>
          <w:highlight w:val="none"/>
        </w:rPr>
      </w:pPr>
      <w:r>
        <w:rPr>
          <w:rFonts w:hint="eastAsia" w:ascii="宋体" w:hAnsi="宋体" w:eastAsia="宋体" w:cs="宋体"/>
          <w:b/>
          <w:bCs/>
          <w:color w:val="auto"/>
          <w:sz w:val="24"/>
          <w:highlight w:val="none"/>
        </w:rPr>
        <w:t>日期：</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 xml:space="preserve"> </w:t>
      </w:r>
    </w:p>
    <w:p>
      <w:pPr>
        <w:pStyle w:val="123"/>
        <w:snapToGrid w:val="0"/>
        <w:spacing w:line="300" w:lineRule="auto"/>
        <w:rPr>
          <w:rFonts w:hint="eastAsia" w:ascii="宋体" w:hAnsi="宋体" w:eastAsia="宋体" w:cs="宋体"/>
          <w:color w:val="auto"/>
          <w:sz w:val="24"/>
          <w:highlight w:val="none"/>
          <w:u w:val="single"/>
        </w:rPr>
      </w:pPr>
    </w:p>
    <w:p>
      <w:pPr>
        <w:pStyle w:val="123"/>
        <w:snapToGrid w:val="0"/>
        <w:spacing w:line="300" w:lineRule="auto"/>
        <w:rPr>
          <w:rFonts w:hint="eastAsia" w:ascii="宋体" w:hAnsi="宋体" w:eastAsia="宋体" w:cs="宋体"/>
          <w:color w:val="auto"/>
          <w:sz w:val="24"/>
          <w:highlight w:val="none"/>
        </w:rPr>
      </w:pPr>
    </w:p>
    <w:p>
      <w:pPr>
        <w:pStyle w:val="123"/>
        <w:snapToGrid w:val="0"/>
        <w:spacing w:line="300" w:lineRule="auto"/>
        <w:rPr>
          <w:rFonts w:hint="eastAsia" w:ascii="宋体" w:hAnsi="宋体" w:eastAsia="宋体" w:cs="宋体"/>
          <w:color w:val="auto"/>
          <w:sz w:val="24"/>
          <w:highlight w:val="none"/>
        </w:rPr>
      </w:pPr>
    </w:p>
    <w:p>
      <w:pPr>
        <w:pStyle w:val="123"/>
        <w:snapToGrid w:val="0"/>
        <w:spacing w:line="300" w:lineRule="auto"/>
        <w:rPr>
          <w:rFonts w:hint="eastAsia" w:ascii="宋体" w:hAnsi="宋体" w:eastAsia="宋体" w:cs="宋体"/>
          <w:color w:val="auto"/>
          <w:sz w:val="24"/>
          <w:highlight w:val="none"/>
        </w:rPr>
      </w:pPr>
    </w:p>
    <w:p>
      <w:pPr>
        <w:pStyle w:val="123"/>
        <w:snapToGrid w:val="0"/>
        <w:spacing w:line="300" w:lineRule="auto"/>
        <w:rPr>
          <w:rFonts w:hint="eastAsia" w:ascii="宋体" w:hAnsi="宋体" w:eastAsia="宋体" w:cs="宋体"/>
          <w:color w:val="auto"/>
          <w:sz w:val="24"/>
          <w:highlight w:val="none"/>
        </w:rPr>
      </w:pPr>
    </w:p>
    <w:p>
      <w:pPr>
        <w:pStyle w:val="123"/>
        <w:snapToGrid w:val="0"/>
        <w:spacing w:line="300" w:lineRule="auto"/>
        <w:rPr>
          <w:rFonts w:hint="eastAsia" w:ascii="宋体" w:hAnsi="宋体" w:eastAsia="宋体" w:cs="宋体"/>
          <w:color w:val="auto"/>
          <w:sz w:val="24"/>
          <w:highlight w:val="none"/>
        </w:rPr>
      </w:pPr>
    </w:p>
    <w:p>
      <w:pPr>
        <w:pStyle w:val="139"/>
        <w:ind w:firstLine="0"/>
        <w:rPr>
          <w:rFonts w:hint="eastAsia" w:ascii="宋体" w:hAnsi="宋体" w:eastAsia="宋体" w:cs="宋体"/>
          <w:color w:val="auto"/>
          <w:highlight w:val="none"/>
        </w:rPr>
      </w:pPr>
    </w:p>
    <w:p>
      <w:pPr>
        <w:pageBreakBefore/>
        <w:jc w:val="center"/>
        <w:rPr>
          <w:rFonts w:hint="eastAsia" w:ascii="宋体" w:hAnsi="宋体" w:eastAsia="宋体" w:cs="宋体"/>
          <w:color w:val="auto"/>
          <w:highlight w:val="none"/>
        </w:rPr>
      </w:pPr>
    </w:p>
    <w:p>
      <w:pPr>
        <w:jc w:val="center"/>
        <w:rPr>
          <w:rFonts w:hint="eastAsia" w:ascii="宋体" w:hAnsi="宋体" w:eastAsia="宋体" w:cs="宋体"/>
          <w:color w:val="auto"/>
          <w:highlight w:val="none"/>
        </w:rPr>
      </w:pPr>
      <w:bookmarkStart w:id="836" w:name="_Toc5232"/>
      <w:bookmarkStart w:id="837" w:name="_Toc6111"/>
      <w:r>
        <w:rPr>
          <w:rStyle w:val="167"/>
          <w:rFonts w:hint="eastAsia" w:ascii="宋体" w:hAnsi="宋体" w:eastAsia="宋体" w:cs="宋体"/>
          <w:color w:val="auto"/>
          <w:highlight w:val="none"/>
        </w:rPr>
        <w:t>第二节 响应文件第二部分--报价和偏离表</w:t>
      </w:r>
      <w:bookmarkEnd w:id="836"/>
      <w:bookmarkEnd w:id="837"/>
      <w:bookmarkStart w:id="838" w:name="_Toc24112"/>
      <w:bookmarkEnd w:id="838"/>
      <w:bookmarkStart w:id="839" w:name="_Toc23519"/>
      <w:bookmarkEnd w:id="839"/>
    </w:p>
    <w:p>
      <w:pPr>
        <w:spacing w:line="400" w:lineRule="exact"/>
        <w:rPr>
          <w:rFonts w:hint="eastAsia" w:ascii="宋体" w:hAnsi="宋体" w:eastAsia="宋体" w:cs="宋体"/>
          <w:b/>
          <w:color w:val="auto"/>
          <w:highlight w:val="none"/>
        </w:rPr>
      </w:pPr>
    </w:p>
    <w:p>
      <w:pPr>
        <w:pStyle w:val="5"/>
        <w:pageBreakBefore/>
        <w:jc w:val="center"/>
        <w:rPr>
          <w:rFonts w:hint="eastAsia" w:ascii="宋体" w:hAnsi="宋体" w:eastAsia="宋体" w:cs="宋体"/>
          <w:color w:val="auto"/>
          <w:highlight w:val="none"/>
        </w:rPr>
      </w:pPr>
      <w:bookmarkStart w:id="840" w:name="_Toc250381485"/>
      <w:bookmarkStart w:id="841" w:name="_Toc276043910"/>
      <w:bookmarkStart w:id="842" w:name="_Toc352358158"/>
      <w:bookmarkStart w:id="843" w:name="_Toc352357972"/>
      <w:bookmarkStart w:id="844" w:name="_Toc232434664"/>
      <w:bookmarkStart w:id="845" w:name="_Toc211679210"/>
      <w:bookmarkStart w:id="846" w:name="_Toc239138585"/>
      <w:bookmarkStart w:id="847" w:name="_Toc180075629"/>
      <w:bookmarkStart w:id="848" w:name="_Toc19884"/>
      <w:bookmarkStart w:id="849" w:name="_Toc377394459"/>
      <w:bookmarkStart w:id="850" w:name="_Toc374966526"/>
      <w:bookmarkStart w:id="851" w:name="_Toc286"/>
      <w:bookmarkStart w:id="852" w:name="_Toc11321"/>
      <w:bookmarkStart w:id="853" w:name="_Toc414456731"/>
      <w:bookmarkStart w:id="854" w:name="_Toc1855"/>
      <w:bookmarkStart w:id="855" w:name="_Toc379571903"/>
      <w:bookmarkStart w:id="856" w:name="_Toc15341"/>
      <w:bookmarkStart w:id="857" w:name="_Toc3040"/>
      <w:bookmarkStart w:id="858" w:name="_Toc28714"/>
      <w:bookmarkStart w:id="859" w:name="_Toc399"/>
      <w:bookmarkStart w:id="860" w:name="_Toc27704"/>
      <w:bookmarkStart w:id="861" w:name="_Toc16436"/>
      <w:bookmarkStart w:id="862" w:name="_Toc23598"/>
      <w:r>
        <w:rPr>
          <w:rFonts w:hint="eastAsia" w:ascii="宋体" w:hAnsi="宋体" w:eastAsia="宋体" w:cs="宋体"/>
          <w:color w:val="auto"/>
          <w:highlight w:val="none"/>
        </w:rPr>
        <w:t>▲附件2.1 报价表</w:t>
      </w:r>
      <w:bookmarkEnd w:id="840"/>
      <w:bookmarkEnd w:id="841"/>
      <w:bookmarkEnd w:id="842"/>
      <w:bookmarkEnd w:id="843"/>
      <w:bookmarkEnd w:id="844"/>
      <w:bookmarkEnd w:id="845"/>
      <w:bookmarkEnd w:id="846"/>
      <w:bookmarkEnd w:id="847"/>
      <w:r>
        <w:rPr>
          <w:rFonts w:hint="eastAsia" w:ascii="宋体" w:hAnsi="宋体" w:eastAsia="宋体" w:cs="宋体"/>
          <w:color w:val="auto"/>
          <w:highlight w:val="none"/>
        </w:rPr>
        <w:t>格式</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p>
    <w:p>
      <w:pPr>
        <w:rPr>
          <w:rFonts w:hint="eastAsia" w:ascii="宋体" w:hAnsi="宋体" w:eastAsia="宋体" w:cs="宋体"/>
          <w:color w:val="auto"/>
          <w:highlight w:val="none"/>
        </w:rPr>
      </w:pPr>
    </w:p>
    <w:p>
      <w:pPr>
        <w:spacing w:line="400" w:lineRule="exact"/>
        <w:rPr>
          <w:rFonts w:hint="eastAsia" w:ascii="宋体" w:hAnsi="宋体" w:eastAsia="宋体" w:cs="宋体"/>
          <w:b/>
          <w:color w:val="auto"/>
          <w:sz w:val="24"/>
          <w:highlight w:val="none"/>
        </w:rPr>
      </w:pPr>
    </w:p>
    <w:p>
      <w:pPr>
        <w:spacing w:line="400" w:lineRule="exact"/>
        <w:rPr>
          <w:rFonts w:hint="eastAsia" w:ascii="宋体" w:hAnsi="宋体" w:eastAsia="宋体" w:cs="宋体"/>
          <w:color w:val="auto"/>
          <w:highlight w:val="none"/>
        </w:rPr>
      </w:pPr>
      <w:r>
        <w:rPr>
          <w:rFonts w:hint="eastAsia" w:ascii="宋体" w:hAnsi="宋体" w:eastAsia="宋体" w:cs="宋体"/>
          <w:b/>
          <w:color w:val="auto"/>
          <w:sz w:val="24"/>
          <w:highlight w:val="none"/>
        </w:rPr>
        <w:t>第</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rPr>
        <w:t>次报价表</w:t>
      </w:r>
    </w:p>
    <w:p>
      <w:pPr>
        <w:spacing w:line="400" w:lineRule="exact"/>
        <w:rPr>
          <w:rFonts w:hint="eastAsia" w:ascii="宋体" w:hAnsi="宋体" w:eastAsia="宋体" w:cs="宋体"/>
          <w:color w:val="auto"/>
          <w:sz w:val="24"/>
          <w:highlight w:val="none"/>
        </w:rPr>
      </w:pPr>
    </w:p>
    <w:p>
      <w:pPr>
        <w:spacing w:line="400" w:lineRule="exact"/>
        <w:rPr>
          <w:rFonts w:hint="eastAsia" w:ascii="宋体" w:hAnsi="宋体" w:eastAsia="宋体" w:cs="宋体"/>
          <w:color w:val="auto"/>
          <w:sz w:val="24"/>
          <w:highlight w:val="none"/>
        </w:rPr>
      </w:pPr>
    </w:p>
    <w:p>
      <w:pPr>
        <w:spacing w:line="400" w:lineRule="exact"/>
        <w:ind w:left="630" w:leftChars="300"/>
        <w:rPr>
          <w:rFonts w:hint="eastAsia" w:ascii="宋体" w:hAnsi="宋体" w:eastAsia="宋体" w:cs="宋体"/>
          <w:color w:val="auto"/>
          <w:sz w:val="24"/>
          <w:highlight w:val="none"/>
        </w:rPr>
      </w:pPr>
    </w:p>
    <w:p>
      <w:pPr>
        <w:spacing w:line="400" w:lineRule="exact"/>
        <w:ind w:left="630" w:leftChars="3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总报价：</w:t>
      </w:r>
      <w:r>
        <w:rPr>
          <w:rFonts w:hint="eastAsia" w:ascii="宋体" w:hAnsi="宋体" w:eastAsia="宋体" w:cs="宋体"/>
          <w:b/>
          <w:color w:val="auto"/>
          <w:sz w:val="24"/>
          <w:highlight w:val="none"/>
          <w:u w:val="single"/>
          <w:lang w:val="en-US" w:eastAsia="zh-CN"/>
        </w:rPr>
        <w:t>人民币</w:t>
      </w:r>
      <w:r>
        <w:rPr>
          <w:rFonts w:hint="eastAsia" w:ascii="宋体" w:hAnsi="宋体" w:eastAsia="宋体" w:cs="宋体"/>
          <w:b/>
          <w:color w:val="auto"/>
          <w:sz w:val="24"/>
          <w:highlight w:val="none"/>
        </w:rPr>
        <w:t>（小写）</w:t>
      </w:r>
    </w:p>
    <w:p>
      <w:pPr>
        <w:spacing w:line="400" w:lineRule="exact"/>
        <w:ind w:left="630" w:leftChars="3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（大写）</w:t>
      </w:r>
    </w:p>
    <w:p>
      <w:pPr>
        <w:spacing w:line="400" w:lineRule="exact"/>
        <w:ind w:left="630" w:leftChars="300"/>
        <w:rPr>
          <w:rFonts w:hint="eastAsia" w:ascii="宋体" w:hAnsi="宋体" w:eastAsia="宋体" w:cs="宋体"/>
          <w:color w:val="auto"/>
          <w:sz w:val="24"/>
          <w:highlight w:val="none"/>
        </w:rPr>
      </w:pPr>
    </w:p>
    <w:p>
      <w:pPr>
        <w:spacing w:line="400" w:lineRule="exact"/>
        <w:ind w:left="630" w:leftChars="300"/>
        <w:rPr>
          <w:rFonts w:hint="eastAsia" w:ascii="宋体" w:hAnsi="宋体" w:eastAsia="宋体" w:cs="宋体"/>
          <w:color w:val="auto"/>
          <w:sz w:val="24"/>
          <w:highlight w:val="none"/>
        </w:rPr>
      </w:pPr>
    </w:p>
    <w:p>
      <w:pPr>
        <w:spacing w:line="400" w:lineRule="exact"/>
        <w:rPr>
          <w:rFonts w:hint="eastAsia" w:ascii="宋体" w:hAnsi="宋体" w:eastAsia="宋体" w:cs="宋体"/>
          <w:color w:val="auto"/>
          <w:highlight w:val="none"/>
        </w:rPr>
      </w:pPr>
      <w:r>
        <w:rPr>
          <w:rFonts w:hint="eastAsia" w:ascii="宋体" w:hAnsi="宋体" w:eastAsia="宋体" w:cs="宋体"/>
          <w:color w:val="auto"/>
          <w:sz w:val="24"/>
          <w:highlight w:val="none"/>
        </w:rPr>
        <w:t>报价声明：</w:t>
      </w:r>
    </w:p>
    <w:p>
      <w:pPr>
        <w:spacing w:line="400" w:lineRule="exact"/>
        <w:ind w:left="630"/>
        <w:rPr>
          <w:rFonts w:hint="eastAsia" w:ascii="宋体" w:hAnsi="宋体" w:eastAsia="宋体" w:cs="宋体"/>
          <w:color w:val="auto"/>
          <w:sz w:val="24"/>
          <w:highlight w:val="none"/>
        </w:rPr>
      </w:pPr>
    </w:p>
    <w:p>
      <w:pPr>
        <w:spacing w:line="400" w:lineRule="exact"/>
        <w:ind w:left="210" w:firstLine="420"/>
        <w:rPr>
          <w:rFonts w:hint="eastAsia" w:ascii="宋体" w:hAnsi="宋体" w:eastAsia="宋体" w:cs="宋体"/>
          <w:color w:val="auto"/>
          <w:sz w:val="24"/>
          <w:highlight w:val="none"/>
        </w:rPr>
      </w:pPr>
    </w:p>
    <w:p>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供应商代表签章：</w:t>
      </w:r>
    </w:p>
    <w:p>
      <w:pPr>
        <w:pStyle w:val="104"/>
        <w:snapToGrid w:val="0"/>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日期：</w:t>
      </w:r>
    </w:p>
    <w:p>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加盖供应商公章：</w:t>
      </w:r>
      <w:r>
        <w:rPr>
          <w:rFonts w:hint="eastAsia" w:ascii="宋体" w:hAnsi="宋体" w:eastAsia="宋体" w:cs="宋体"/>
          <w:color w:val="auto"/>
          <w:sz w:val="24"/>
          <w:highlight w:val="none"/>
          <w:u w:val="single"/>
        </w:rPr>
        <w:t xml:space="preserve">                  （适用于第一次报价）</w:t>
      </w:r>
    </w:p>
    <w:p>
      <w:pPr>
        <w:pStyle w:val="5"/>
        <w:rPr>
          <w:rFonts w:hint="eastAsia" w:ascii="宋体" w:hAnsi="宋体" w:eastAsia="宋体" w:cs="宋体"/>
          <w:color w:val="auto"/>
          <w:highlight w:val="none"/>
        </w:rPr>
      </w:pPr>
    </w:p>
    <w:p>
      <w:pPr>
        <w:spacing w:line="400" w:lineRule="exact"/>
        <w:rPr>
          <w:rFonts w:hint="eastAsia" w:ascii="宋体" w:hAnsi="宋体" w:eastAsia="宋体" w:cs="宋体"/>
          <w:color w:val="auto"/>
          <w:sz w:val="24"/>
          <w:highlight w:val="none"/>
        </w:rPr>
      </w:pPr>
    </w:p>
    <w:p>
      <w:pPr>
        <w:pStyle w:val="16"/>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注：1、该报价表的一份正本需另行单独密封递交1份。</w:t>
      </w:r>
    </w:p>
    <w:p>
      <w:pPr>
        <w:pStyle w:val="16"/>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2、该格式适用于各次报价。</w:t>
      </w:r>
    </w:p>
    <w:p>
      <w:pPr>
        <w:pStyle w:val="104"/>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3、除第一次报价时该表须加盖</w:t>
      </w:r>
      <w:r>
        <w:rPr>
          <w:rFonts w:hint="eastAsia" w:ascii="宋体" w:hAnsi="宋体" w:eastAsia="宋体" w:cs="宋体"/>
          <w:bCs/>
          <w:color w:val="auto"/>
          <w:sz w:val="24"/>
          <w:highlight w:val="none"/>
          <w:lang w:val="en-US" w:eastAsia="zh-CN"/>
        </w:rPr>
        <w:t>供应商</w:t>
      </w:r>
      <w:r>
        <w:rPr>
          <w:rFonts w:hint="eastAsia" w:ascii="宋体" w:hAnsi="宋体" w:eastAsia="宋体" w:cs="宋体"/>
          <w:bCs/>
          <w:color w:val="auto"/>
          <w:sz w:val="24"/>
          <w:highlight w:val="none"/>
        </w:rPr>
        <w:t>公章，其余各次报价表可无</w:t>
      </w:r>
      <w:r>
        <w:rPr>
          <w:rFonts w:hint="eastAsia" w:ascii="宋体" w:hAnsi="宋体" w:eastAsia="宋体" w:cs="宋体"/>
          <w:bCs/>
          <w:color w:val="auto"/>
          <w:sz w:val="24"/>
          <w:highlight w:val="none"/>
          <w:lang w:val="en-US" w:eastAsia="zh-CN"/>
        </w:rPr>
        <w:t>供应商</w:t>
      </w:r>
      <w:r>
        <w:rPr>
          <w:rFonts w:hint="eastAsia" w:ascii="宋体" w:hAnsi="宋体" w:eastAsia="宋体" w:cs="宋体"/>
          <w:bCs/>
          <w:color w:val="auto"/>
          <w:sz w:val="24"/>
          <w:highlight w:val="none"/>
        </w:rPr>
        <w:t>公章，只填写</w:t>
      </w:r>
      <w:r>
        <w:rPr>
          <w:rFonts w:hint="eastAsia" w:ascii="宋体" w:hAnsi="宋体" w:eastAsia="宋体" w:cs="宋体"/>
          <w:bCs/>
          <w:color w:val="auto"/>
          <w:sz w:val="24"/>
          <w:highlight w:val="none"/>
          <w:lang w:val="en-US" w:eastAsia="zh-CN"/>
        </w:rPr>
        <w:t>供应商</w:t>
      </w:r>
      <w:r>
        <w:rPr>
          <w:rFonts w:hint="eastAsia" w:ascii="宋体" w:hAnsi="宋体" w:eastAsia="宋体" w:cs="宋体"/>
          <w:bCs/>
          <w:color w:val="auto"/>
          <w:sz w:val="24"/>
          <w:highlight w:val="none"/>
        </w:rPr>
        <w:t>全称、</w:t>
      </w:r>
      <w:r>
        <w:rPr>
          <w:rFonts w:hint="eastAsia" w:ascii="宋体" w:hAnsi="宋体" w:eastAsia="宋体" w:cs="宋体"/>
          <w:bCs/>
          <w:color w:val="auto"/>
          <w:sz w:val="24"/>
          <w:highlight w:val="none"/>
          <w:lang w:val="en-US" w:eastAsia="zh-CN"/>
        </w:rPr>
        <w:t>签字日期</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供应商</w:t>
      </w:r>
      <w:r>
        <w:rPr>
          <w:rFonts w:hint="eastAsia" w:ascii="宋体" w:hAnsi="宋体" w:eastAsia="宋体" w:cs="宋体"/>
          <w:bCs/>
          <w:color w:val="auto"/>
          <w:sz w:val="24"/>
          <w:highlight w:val="none"/>
        </w:rPr>
        <w:t>被授权代表签字即可。</w:t>
      </w:r>
    </w:p>
    <w:p>
      <w:pPr>
        <w:spacing w:line="400" w:lineRule="exact"/>
        <w:ind w:left="630"/>
        <w:rPr>
          <w:rFonts w:hint="eastAsia" w:ascii="宋体" w:hAnsi="宋体" w:eastAsia="宋体" w:cs="宋体"/>
          <w:color w:val="auto"/>
          <w:sz w:val="24"/>
          <w:highlight w:val="none"/>
        </w:rPr>
      </w:pPr>
    </w:p>
    <w:p>
      <w:pPr>
        <w:spacing w:line="400" w:lineRule="exact"/>
        <w:ind w:left="630"/>
        <w:rPr>
          <w:rFonts w:hint="eastAsia" w:ascii="宋体" w:hAnsi="宋体" w:eastAsia="宋体" w:cs="宋体"/>
          <w:color w:val="auto"/>
          <w:sz w:val="24"/>
          <w:highlight w:val="none"/>
        </w:rPr>
      </w:pPr>
    </w:p>
    <w:p>
      <w:pPr>
        <w:spacing w:line="400" w:lineRule="exact"/>
        <w:ind w:left="630"/>
        <w:rPr>
          <w:rFonts w:hint="eastAsia" w:ascii="宋体" w:hAnsi="宋体" w:eastAsia="宋体" w:cs="宋体"/>
          <w:color w:val="auto"/>
          <w:sz w:val="24"/>
          <w:highlight w:val="none"/>
        </w:rPr>
      </w:pPr>
    </w:p>
    <w:p>
      <w:pPr>
        <w:rPr>
          <w:rFonts w:hint="eastAsia" w:ascii="宋体" w:hAnsi="宋体" w:eastAsia="宋体" w:cs="宋体"/>
          <w:color w:val="auto"/>
          <w:highlight w:val="none"/>
        </w:rPr>
      </w:pPr>
    </w:p>
    <w:p>
      <w:pPr>
        <w:pStyle w:val="5"/>
        <w:pageBreakBefore/>
        <w:spacing w:line="400" w:lineRule="exact"/>
        <w:jc w:val="center"/>
        <w:rPr>
          <w:rFonts w:hint="eastAsia" w:ascii="宋体" w:hAnsi="宋体" w:eastAsia="宋体" w:cs="宋体"/>
          <w:color w:val="auto"/>
          <w:highlight w:val="none"/>
        </w:rPr>
      </w:pPr>
      <w:bookmarkStart w:id="863" w:name="_Toc276043911"/>
      <w:bookmarkStart w:id="864" w:name="_Toc301889973"/>
      <w:bookmarkStart w:id="865" w:name="_Toc18865"/>
      <w:bookmarkStart w:id="866" w:name="_Toc210192428"/>
      <w:bookmarkStart w:id="867" w:name="_Toc8845753"/>
      <w:bookmarkStart w:id="868" w:name="_Toc46107913"/>
      <w:bookmarkStart w:id="869" w:name="_Toc52503488"/>
      <w:bookmarkStart w:id="870" w:name="_Toc20978"/>
      <w:bookmarkStart w:id="871" w:name="_Toc8845575"/>
      <w:bookmarkStart w:id="872" w:name="_Toc414456732"/>
      <w:bookmarkStart w:id="873" w:name="_Toc10978"/>
      <w:bookmarkStart w:id="874" w:name="_Toc15453"/>
      <w:bookmarkStart w:id="875" w:name="_Toc11380"/>
      <w:bookmarkStart w:id="876" w:name="_Toc21932"/>
      <w:bookmarkStart w:id="877" w:name="_Toc379571904"/>
      <w:bookmarkStart w:id="878" w:name="_Toc352358159"/>
      <w:bookmarkStart w:id="879" w:name="_Toc228003316"/>
      <w:bookmarkStart w:id="880" w:name="_Toc53841398"/>
      <w:bookmarkStart w:id="881" w:name="_Toc377394460"/>
      <w:bookmarkStart w:id="882" w:name="_Toc46304762"/>
      <w:bookmarkStart w:id="883" w:name="_Toc352357973"/>
      <w:bookmarkStart w:id="884" w:name="_Toc250381486"/>
      <w:bookmarkStart w:id="885" w:name="_Toc29011"/>
      <w:bookmarkStart w:id="886" w:name="_Toc3749"/>
      <w:bookmarkStart w:id="887" w:name="_Toc232434665"/>
      <w:bookmarkStart w:id="888" w:name="_Toc32004"/>
      <w:bookmarkStart w:id="889" w:name="_Toc23326"/>
      <w:bookmarkStart w:id="890" w:name="_Toc8845662"/>
      <w:bookmarkStart w:id="891" w:name="_Toc3395"/>
      <w:bookmarkStart w:id="892" w:name="_Toc21854778"/>
      <w:bookmarkStart w:id="893" w:name="_Toc239138586"/>
      <w:bookmarkStart w:id="894" w:name="_Toc374966527"/>
      <w:bookmarkStart w:id="895" w:name="_Toc8845735"/>
      <w:bookmarkStart w:id="896" w:name="_Toc52417615"/>
      <w:r>
        <w:rPr>
          <w:rFonts w:hint="eastAsia" w:ascii="宋体" w:hAnsi="宋体" w:eastAsia="宋体" w:cs="宋体"/>
          <w:color w:val="auto"/>
          <w:highlight w:val="none"/>
        </w:rPr>
        <w:t>附件2.2 分项报价表格式</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（格式自拟）</w:t>
      </w:r>
    </w:p>
    <w:p>
      <w:pPr>
        <w:spacing w:line="400" w:lineRule="exact"/>
        <w:rPr>
          <w:rFonts w:hint="eastAsia" w:ascii="宋体" w:hAnsi="宋体" w:eastAsia="宋体" w:cs="宋体"/>
          <w:color w:val="auto"/>
          <w:sz w:val="24"/>
          <w:highlight w:val="none"/>
        </w:rPr>
      </w:pPr>
    </w:p>
    <w:p>
      <w:pPr>
        <w:spacing w:line="400" w:lineRule="exact"/>
        <w:rPr>
          <w:rFonts w:hint="eastAsia" w:ascii="宋体" w:hAnsi="宋体" w:eastAsia="宋体" w:cs="宋体"/>
          <w:color w:val="auto"/>
          <w:sz w:val="24"/>
          <w:highlight w:val="none"/>
        </w:rPr>
      </w:pPr>
    </w:p>
    <w:p>
      <w:pPr>
        <w:spacing w:line="400" w:lineRule="exact"/>
        <w:rPr>
          <w:rFonts w:hint="eastAsia" w:ascii="宋体" w:hAnsi="宋体" w:eastAsia="宋体" w:cs="宋体"/>
          <w:color w:val="auto"/>
          <w:sz w:val="24"/>
          <w:highlight w:val="none"/>
        </w:rPr>
      </w:pPr>
    </w:p>
    <w:p>
      <w:pPr>
        <w:spacing w:line="400" w:lineRule="exact"/>
        <w:rPr>
          <w:rFonts w:hint="eastAsia" w:ascii="宋体" w:hAnsi="宋体" w:eastAsia="宋体" w:cs="宋体"/>
          <w:color w:val="auto"/>
          <w:sz w:val="24"/>
          <w:highlight w:val="none"/>
        </w:rPr>
      </w:pPr>
    </w:p>
    <w:p>
      <w:pPr>
        <w:spacing w:line="400" w:lineRule="exact"/>
        <w:rPr>
          <w:rFonts w:hint="eastAsia" w:ascii="宋体" w:hAnsi="宋体" w:eastAsia="宋体" w:cs="宋体"/>
          <w:color w:val="auto"/>
          <w:sz w:val="24"/>
          <w:highlight w:val="none"/>
        </w:rPr>
      </w:pPr>
    </w:p>
    <w:p>
      <w:pPr>
        <w:pStyle w:val="104"/>
        <w:snapToGrid w:val="0"/>
        <w:spacing w:line="400" w:lineRule="exact"/>
        <w:rPr>
          <w:rFonts w:hint="eastAsia" w:ascii="宋体" w:hAnsi="宋体" w:eastAsia="宋体" w:cs="宋体"/>
          <w:color w:val="auto"/>
          <w:sz w:val="24"/>
          <w:highlight w:val="none"/>
        </w:rPr>
      </w:pPr>
    </w:p>
    <w:p>
      <w:pPr>
        <w:spacing w:line="400" w:lineRule="exact"/>
        <w:rPr>
          <w:rFonts w:hint="eastAsia" w:ascii="宋体" w:hAnsi="宋体" w:eastAsia="宋体" w:cs="宋体"/>
          <w:b/>
          <w:color w:val="auto"/>
          <w:highlight w:val="none"/>
        </w:rPr>
      </w:pPr>
    </w:p>
    <w:p>
      <w:pPr>
        <w:pStyle w:val="5"/>
        <w:pageBreakBefore/>
        <w:spacing w:line="400" w:lineRule="exact"/>
        <w:jc w:val="center"/>
        <w:rPr>
          <w:rFonts w:hint="eastAsia" w:ascii="宋体" w:hAnsi="宋体" w:eastAsia="宋体" w:cs="宋体"/>
          <w:color w:val="auto"/>
          <w:highlight w:val="none"/>
        </w:rPr>
      </w:pPr>
      <w:bookmarkStart w:id="897" w:name="_Toc516329225"/>
      <w:bookmarkStart w:id="898" w:name="_Toc509379907"/>
      <w:bookmarkStart w:id="899" w:name="_Toc524089044"/>
      <w:bookmarkStart w:id="900" w:name="_Toc524087288"/>
      <w:bookmarkStart w:id="901" w:name="_Toc509111783"/>
      <w:bookmarkStart w:id="902" w:name="_Toc509381447"/>
      <w:bookmarkStart w:id="903" w:name="_Toc524089219"/>
      <w:bookmarkStart w:id="904" w:name="_Toc509111897"/>
      <w:bookmarkStart w:id="905" w:name="_Toc516328252"/>
      <w:bookmarkStart w:id="906" w:name="_Toc516325289"/>
      <w:bookmarkStart w:id="907" w:name="_Toc379571905"/>
      <w:bookmarkStart w:id="908" w:name="_Toc524092701"/>
      <w:bookmarkStart w:id="909" w:name="_Toc524092531"/>
      <w:bookmarkStart w:id="910" w:name="_Toc21854779"/>
      <w:bookmarkStart w:id="911" w:name="_Toc6067"/>
      <w:bookmarkStart w:id="912" w:name="_Toc13849"/>
      <w:bookmarkStart w:id="913" w:name="_Toc524703848"/>
      <w:bookmarkStart w:id="914" w:name="_Toc377394461"/>
      <w:bookmarkStart w:id="915" w:name="_Toc374966528"/>
      <w:bookmarkStart w:id="916" w:name="_Toc20149"/>
      <w:bookmarkStart w:id="917" w:name="_Toc2476"/>
      <w:bookmarkStart w:id="918" w:name="_Toc31639"/>
      <w:bookmarkStart w:id="919" w:name="_Toc8845663"/>
      <w:bookmarkStart w:id="920" w:name="_Toc210192429"/>
      <w:bookmarkStart w:id="921" w:name="_Toc52417616"/>
      <w:bookmarkStart w:id="922" w:name="_Toc232434666"/>
      <w:bookmarkStart w:id="923" w:name="_Toc8845736"/>
      <w:bookmarkStart w:id="924" w:name="_Toc24335"/>
      <w:bookmarkStart w:id="925" w:name="_Toc52503489"/>
      <w:bookmarkStart w:id="926" w:name="_Toc53841399"/>
      <w:bookmarkStart w:id="927" w:name="_Toc276043912"/>
      <w:bookmarkStart w:id="928" w:name="_Toc7731"/>
      <w:bookmarkStart w:id="929" w:name="_Toc18705"/>
      <w:bookmarkStart w:id="930" w:name="_Toc524092624"/>
      <w:bookmarkStart w:id="931" w:name="_Toc524703774"/>
      <w:bookmarkStart w:id="932" w:name="_Toc352357974"/>
      <w:bookmarkStart w:id="933" w:name="_Toc46107914"/>
      <w:bookmarkStart w:id="934" w:name="_Toc352358160"/>
      <w:bookmarkStart w:id="935" w:name="_Toc250381487"/>
      <w:bookmarkStart w:id="936" w:name="_Toc8845754"/>
      <w:bookmarkStart w:id="937" w:name="_Toc414456733"/>
      <w:bookmarkStart w:id="938" w:name="_Toc9857"/>
      <w:bookmarkStart w:id="939" w:name="_Toc239138587"/>
      <w:bookmarkStart w:id="940" w:name="_Toc24124"/>
      <w:bookmarkStart w:id="941" w:name="_Toc524092804"/>
      <w:bookmarkStart w:id="942" w:name="_Toc46304763"/>
      <w:bookmarkStart w:id="943" w:name="_Toc454"/>
      <w:bookmarkStart w:id="944" w:name="_Toc8845576"/>
      <w:r>
        <w:rPr>
          <w:rFonts w:hint="eastAsia" w:ascii="宋体" w:hAnsi="宋体" w:eastAsia="宋体" w:cs="宋体"/>
          <w:color w:val="auto"/>
          <w:highlight w:val="none"/>
        </w:rPr>
        <w:t>▲附件2.3 偏离表</w:t>
      </w:r>
      <w:bookmarkEnd w:id="897"/>
      <w:bookmarkEnd w:id="898"/>
      <w:bookmarkEnd w:id="899"/>
      <w:bookmarkEnd w:id="900"/>
      <w:bookmarkEnd w:id="901"/>
      <w:bookmarkEnd w:id="902"/>
      <w:bookmarkEnd w:id="903"/>
      <w:bookmarkEnd w:id="904"/>
      <w:bookmarkEnd w:id="905"/>
      <w:bookmarkEnd w:id="906"/>
      <w:r>
        <w:rPr>
          <w:rFonts w:hint="eastAsia" w:ascii="宋体" w:hAnsi="宋体" w:eastAsia="宋体" w:cs="宋体"/>
          <w:color w:val="auto"/>
          <w:highlight w:val="none"/>
        </w:rPr>
        <w:t>格式</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p>
    <w:p>
      <w:pPr>
        <w:rPr>
          <w:rFonts w:hint="eastAsia" w:ascii="宋体" w:hAnsi="宋体" w:eastAsia="宋体" w:cs="宋体"/>
          <w:color w:val="auto"/>
          <w:highlight w:val="none"/>
        </w:rPr>
      </w:pPr>
      <w:bookmarkStart w:id="945" w:name="_Hlt524092389"/>
      <w:bookmarkEnd w:id="945"/>
      <w:r>
        <w:rPr>
          <w:rFonts w:hint="eastAsia" w:ascii="宋体" w:hAnsi="宋体" w:eastAsia="宋体" w:cs="宋体"/>
          <w:color w:val="auto"/>
          <w:sz w:val="24"/>
          <w:highlight w:val="none"/>
        </w:rPr>
        <w:t>项目名称：                                    项目编号：</w:t>
      </w:r>
    </w:p>
    <w:tbl>
      <w:tblPr>
        <w:tblStyle w:val="28"/>
        <w:tblW w:w="9080" w:type="dxa"/>
        <w:tblInd w:w="0" w:type="dxa"/>
        <w:tblLayout w:type="fixed"/>
        <w:tblCellMar>
          <w:top w:w="0" w:type="dxa"/>
          <w:left w:w="5" w:type="dxa"/>
          <w:bottom w:w="0" w:type="dxa"/>
          <w:right w:w="0" w:type="dxa"/>
        </w:tblCellMar>
      </w:tblPr>
      <w:tblGrid>
        <w:gridCol w:w="854"/>
        <w:gridCol w:w="2996"/>
        <w:gridCol w:w="2665"/>
        <w:gridCol w:w="2565"/>
      </w:tblGrid>
      <w:tr>
        <w:tblPrEx>
          <w:tblCellMar>
            <w:top w:w="0" w:type="dxa"/>
            <w:left w:w="5" w:type="dxa"/>
            <w:bottom w:w="0" w:type="dxa"/>
            <w:right w:w="0" w:type="dxa"/>
          </w:tblCellMar>
        </w:tblPrEx>
        <w:tc>
          <w:tcPr>
            <w:tcW w:w="854"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auto"/>
                <w:highlight w:val="none"/>
              </w:rPr>
            </w:pPr>
            <w:r>
              <w:rPr>
                <w:rFonts w:hint="eastAsia" w:ascii="宋体" w:hAnsi="宋体" w:eastAsia="宋体" w:cs="宋体"/>
                <w:color w:val="auto"/>
                <w:sz w:val="24"/>
                <w:highlight w:val="none"/>
              </w:rPr>
              <w:t>序号</w:t>
            </w:r>
          </w:p>
        </w:tc>
        <w:tc>
          <w:tcPr>
            <w:tcW w:w="2996"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auto"/>
                <w:highlight w:val="none"/>
              </w:rPr>
            </w:pPr>
            <w:r>
              <w:rPr>
                <w:rFonts w:hint="eastAsia" w:ascii="宋体" w:hAnsi="宋体" w:eastAsia="宋体" w:cs="宋体"/>
                <w:color w:val="auto"/>
                <w:sz w:val="24"/>
                <w:highlight w:val="none"/>
              </w:rPr>
              <w:t>涉及负偏离的</w:t>
            </w:r>
          </w:p>
          <w:p>
            <w:pPr>
              <w:spacing w:line="400" w:lineRule="exact"/>
              <w:jc w:val="center"/>
              <w:rPr>
                <w:rFonts w:hint="eastAsia" w:ascii="宋体" w:hAnsi="宋体" w:eastAsia="宋体" w:cs="宋体"/>
                <w:color w:val="auto"/>
                <w:highlight w:val="none"/>
              </w:rPr>
            </w:pPr>
            <w:r>
              <w:rPr>
                <w:rFonts w:hint="eastAsia" w:ascii="宋体" w:hAnsi="宋体" w:eastAsia="宋体" w:cs="宋体"/>
                <w:color w:val="auto"/>
                <w:sz w:val="24"/>
                <w:highlight w:val="none"/>
              </w:rPr>
              <w:t>磋商文件要求</w:t>
            </w:r>
          </w:p>
        </w:tc>
        <w:tc>
          <w:tcPr>
            <w:tcW w:w="2665"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auto"/>
                <w:highlight w:val="none"/>
              </w:rPr>
            </w:pPr>
            <w:r>
              <w:rPr>
                <w:rFonts w:hint="eastAsia" w:ascii="宋体" w:hAnsi="宋体" w:eastAsia="宋体" w:cs="宋体"/>
                <w:color w:val="auto"/>
                <w:sz w:val="24"/>
                <w:highlight w:val="none"/>
              </w:rPr>
              <w:t>涉及负偏离的</w:t>
            </w:r>
          </w:p>
          <w:p>
            <w:pPr>
              <w:spacing w:line="400" w:lineRule="exact"/>
              <w:jc w:val="center"/>
              <w:rPr>
                <w:rFonts w:hint="eastAsia" w:ascii="宋体" w:hAnsi="宋体" w:eastAsia="宋体" w:cs="宋体"/>
                <w:color w:val="auto"/>
                <w:highlight w:val="none"/>
              </w:rPr>
            </w:pPr>
            <w:r>
              <w:rPr>
                <w:rFonts w:hint="eastAsia" w:ascii="宋体" w:hAnsi="宋体" w:eastAsia="宋体" w:cs="宋体"/>
                <w:color w:val="auto"/>
                <w:sz w:val="24"/>
                <w:highlight w:val="none"/>
              </w:rPr>
              <w:t>响应文件响应内容</w:t>
            </w:r>
          </w:p>
        </w:tc>
        <w:tc>
          <w:tcPr>
            <w:tcW w:w="2565"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auto"/>
                <w:highlight w:val="none"/>
              </w:rPr>
            </w:pPr>
            <w:r>
              <w:rPr>
                <w:rFonts w:hint="eastAsia" w:ascii="宋体" w:hAnsi="宋体" w:eastAsia="宋体" w:cs="宋体"/>
                <w:color w:val="auto"/>
                <w:sz w:val="24"/>
                <w:highlight w:val="none"/>
              </w:rPr>
              <w:t>偏离说明</w:t>
            </w:r>
          </w:p>
        </w:tc>
      </w:tr>
      <w:tr>
        <w:tblPrEx>
          <w:tblCellMar>
            <w:top w:w="0" w:type="dxa"/>
            <w:left w:w="5" w:type="dxa"/>
            <w:bottom w:w="0" w:type="dxa"/>
            <w:right w:w="0" w:type="dxa"/>
          </w:tblCellMar>
        </w:tblPrEx>
        <w:tc>
          <w:tcPr>
            <w:tcW w:w="854" w:type="dxa"/>
            <w:tcBorders>
              <w:top w:val="single" w:color="000000" w:sz="4" w:space="0"/>
              <w:left w:val="single" w:color="000000" w:sz="4" w:space="0"/>
              <w:bottom w:val="single" w:color="000000" w:sz="4" w:space="0"/>
              <w:right w:val="single" w:color="000000" w:sz="4" w:space="0"/>
            </w:tcBorders>
          </w:tcPr>
          <w:p>
            <w:pPr>
              <w:spacing w:line="400" w:lineRule="exact"/>
              <w:rPr>
                <w:rFonts w:hint="eastAsia" w:ascii="宋体" w:hAnsi="宋体" w:eastAsia="宋体" w:cs="宋体"/>
                <w:color w:val="auto"/>
                <w:sz w:val="24"/>
                <w:highlight w:val="none"/>
              </w:rPr>
            </w:pPr>
          </w:p>
        </w:tc>
        <w:tc>
          <w:tcPr>
            <w:tcW w:w="2996" w:type="dxa"/>
            <w:tcBorders>
              <w:top w:val="single" w:color="000000" w:sz="4" w:space="0"/>
              <w:left w:val="single" w:color="000000" w:sz="4" w:space="0"/>
              <w:bottom w:val="single" w:color="000000" w:sz="4" w:space="0"/>
              <w:right w:val="single" w:color="000000" w:sz="4" w:space="0"/>
            </w:tcBorders>
          </w:tcPr>
          <w:p>
            <w:pPr>
              <w:spacing w:line="400" w:lineRule="exact"/>
              <w:rPr>
                <w:rFonts w:hint="eastAsia" w:ascii="宋体" w:hAnsi="宋体" w:eastAsia="宋体" w:cs="宋体"/>
                <w:color w:val="auto"/>
                <w:sz w:val="24"/>
                <w:highlight w:val="none"/>
              </w:rPr>
            </w:pPr>
          </w:p>
        </w:tc>
        <w:tc>
          <w:tcPr>
            <w:tcW w:w="2665" w:type="dxa"/>
            <w:tcBorders>
              <w:top w:val="single" w:color="000000" w:sz="4" w:space="0"/>
              <w:left w:val="single" w:color="000000" w:sz="4" w:space="0"/>
              <w:bottom w:val="single" w:color="000000" w:sz="4" w:space="0"/>
              <w:right w:val="single" w:color="000000" w:sz="4" w:space="0"/>
            </w:tcBorders>
          </w:tcPr>
          <w:p>
            <w:pPr>
              <w:spacing w:line="400" w:lineRule="exact"/>
              <w:rPr>
                <w:rFonts w:hint="eastAsia" w:ascii="宋体" w:hAnsi="宋体" w:eastAsia="宋体" w:cs="宋体"/>
                <w:color w:val="auto"/>
                <w:sz w:val="24"/>
                <w:highlight w:val="none"/>
              </w:rPr>
            </w:pPr>
          </w:p>
        </w:tc>
        <w:tc>
          <w:tcPr>
            <w:tcW w:w="2565" w:type="dxa"/>
            <w:tcBorders>
              <w:top w:val="single" w:color="000000" w:sz="4" w:space="0"/>
              <w:left w:val="single" w:color="000000" w:sz="4" w:space="0"/>
              <w:bottom w:val="single" w:color="000000" w:sz="4" w:space="0"/>
              <w:right w:val="single" w:color="000000" w:sz="4" w:space="0"/>
            </w:tcBorders>
          </w:tcPr>
          <w:p>
            <w:pPr>
              <w:spacing w:line="400" w:lineRule="exact"/>
              <w:rPr>
                <w:rFonts w:hint="eastAsia" w:ascii="宋体" w:hAnsi="宋体" w:eastAsia="宋体" w:cs="宋体"/>
                <w:color w:val="auto"/>
                <w:sz w:val="24"/>
                <w:highlight w:val="none"/>
              </w:rPr>
            </w:pPr>
          </w:p>
        </w:tc>
      </w:tr>
      <w:tr>
        <w:tblPrEx>
          <w:tblCellMar>
            <w:top w:w="0" w:type="dxa"/>
            <w:left w:w="5" w:type="dxa"/>
            <w:bottom w:w="0" w:type="dxa"/>
            <w:right w:w="0" w:type="dxa"/>
          </w:tblCellMar>
        </w:tblPrEx>
        <w:tc>
          <w:tcPr>
            <w:tcW w:w="854" w:type="dxa"/>
            <w:tcBorders>
              <w:top w:val="single" w:color="000000" w:sz="4" w:space="0"/>
              <w:left w:val="single" w:color="000000" w:sz="4" w:space="0"/>
              <w:bottom w:val="single" w:color="000000" w:sz="4" w:space="0"/>
              <w:right w:val="single" w:color="000000" w:sz="4" w:space="0"/>
            </w:tcBorders>
          </w:tcPr>
          <w:p>
            <w:pPr>
              <w:spacing w:line="400" w:lineRule="exact"/>
              <w:rPr>
                <w:rFonts w:hint="eastAsia" w:ascii="宋体" w:hAnsi="宋体" w:eastAsia="宋体" w:cs="宋体"/>
                <w:color w:val="auto"/>
                <w:sz w:val="24"/>
                <w:highlight w:val="none"/>
              </w:rPr>
            </w:pPr>
          </w:p>
        </w:tc>
        <w:tc>
          <w:tcPr>
            <w:tcW w:w="2996" w:type="dxa"/>
            <w:tcBorders>
              <w:top w:val="single" w:color="000000" w:sz="4" w:space="0"/>
              <w:left w:val="single" w:color="000000" w:sz="4" w:space="0"/>
              <w:bottom w:val="single" w:color="000000" w:sz="4" w:space="0"/>
              <w:right w:val="single" w:color="000000" w:sz="4" w:space="0"/>
            </w:tcBorders>
          </w:tcPr>
          <w:p>
            <w:pPr>
              <w:spacing w:line="400" w:lineRule="exact"/>
              <w:rPr>
                <w:rFonts w:hint="eastAsia" w:ascii="宋体" w:hAnsi="宋体" w:eastAsia="宋体" w:cs="宋体"/>
                <w:color w:val="auto"/>
                <w:sz w:val="24"/>
                <w:highlight w:val="none"/>
              </w:rPr>
            </w:pPr>
          </w:p>
        </w:tc>
        <w:tc>
          <w:tcPr>
            <w:tcW w:w="2665" w:type="dxa"/>
            <w:tcBorders>
              <w:top w:val="single" w:color="000000" w:sz="4" w:space="0"/>
              <w:left w:val="single" w:color="000000" w:sz="4" w:space="0"/>
              <w:bottom w:val="single" w:color="000000" w:sz="4" w:space="0"/>
              <w:right w:val="single" w:color="000000" w:sz="4" w:space="0"/>
            </w:tcBorders>
          </w:tcPr>
          <w:p>
            <w:pPr>
              <w:spacing w:line="400" w:lineRule="exact"/>
              <w:rPr>
                <w:rFonts w:hint="eastAsia" w:ascii="宋体" w:hAnsi="宋体" w:eastAsia="宋体" w:cs="宋体"/>
                <w:color w:val="auto"/>
                <w:sz w:val="24"/>
                <w:highlight w:val="none"/>
              </w:rPr>
            </w:pPr>
          </w:p>
        </w:tc>
        <w:tc>
          <w:tcPr>
            <w:tcW w:w="2565" w:type="dxa"/>
            <w:tcBorders>
              <w:top w:val="single" w:color="000000" w:sz="4" w:space="0"/>
              <w:left w:val="single" w:color="000000" w:sz="4" w:space="0"/>
              <w:bottom w:val="single" w:color="000000" w:sz="4" w:space="0"/>
              <w:right w:val="single" w:color="000000" w:sz="4" w:space="0"/>
            </w:tcBorders>
          </w:tcPr>
          <w:p>
            <w:pPr>
              <w:spacing w:line="400" w:lineRule="exact"/>
              <w:rPr>
                <w:rFonts w:hint="eastAsia" w:ascii="宋体" w:hAnsi="宋体" w:eastAsia="宋体" w:cs="宋体"/>
                <w:color w:val="auto"/>
                <w:sz w:val="24"/>
                <w:highlight w:val="none"/>
              </w:rPr>
            </w:pPr>
          </w:p>
        </w:tc>
      </w:tr>
      <w:tr>
        <w:tblPrEx>
          <w:tblCellMar>
            <w:top w:w="0" w:type="dxa"/>
            <w:left w:w="5" w:type="dxa"/>
            <w:bottom w:w="0" w:type="dxa"/>
            <w:right w:w="0" w:type="dxa"/>
          </w:tblCellMar>
        </w:tblPrEx>
        <w:tc>
          <w:tcPr>
            <w:tcW w:w="854" w:type="dxa"/>
            <w:tcBorders>
              <w:top w:val="single" w:color="000000" w:sz="4" w:space="0"/>
              <w:left w:val="single" w:color="000000" w:sz="4" w:space="0"/>
              <w:bottom w:val="single" w:color="000000" w:sz="4" w:space="0"/>
              <w:right w:val="single" w:color="000000" w:sz="4" w:space="0"/>
            </w:tcBorders>
          </w:tcPr>
          <w:p>
            <w:pPr>
              <w:spacing w:line="400" w:lineRule="exact"/>
              <w:rPr>
                <w:rFonts w:hint="eastAsia" w:ascii="宋体" w:hAnsi="宋体" w:eastAsia="宋体" w:cs="宋体"/>
                <w:color w:val="auto"/>
                <w:sz w:val="24"/>
                <w:highlight w:val="none"/>
              </w:rPr>
            </w:pPr>
          </w:p>
        </w:tc>
        <w:tc>
          <w:tcPr>
            <w:tcW w:w="2996" w:type="dxa"/>
            <w:tcBorders>
              <w:top w:val="single" w:color="000000" w:sz="4" w:space="0"/>
              <w:left w:val="single" w:color="000000" w:sz="4" w:space="0"/>
              <w:bottom w:val="single" w:color="000000" w:sz="4" w:space="0"/>
              <w:right w:val="single" w:color="000000" w:sz="4" w:space="0"/>
            </w:tcBorders>
          </w:tcPr>
          <w:p>
            <w:pPr>
              <w:spacing w:line="400" w:lineRule="exact"/>
              <w:rPr>
                <w:rFonts w:hint="eastAsia" w:ascii="宋体" w:hAnsi="宋体" w:eastAsia="宋体" w:cs="宋体"/>
                <w:color w:val="auto"/>
                <w:sz w:val="24"/>
                <w:highlight w:val="none"/>
              </w:rPr>
            </w:pPr>
          </w:p>
        </w:tc>
        <w:tc>
          <w:tcPr>
            <w:tcW w:w="2665" w:type="dxa"/>
            <w:tcBorders>
              <w:top w:val="single" w:color="000000" w:sz="4" w:space="0"/>
              <w:left w:val="single" w:color="000000" w:sz="4" w:space="0"/>
              <w:bottom w:val="single" w:color="000000" w:sz="4" w:space="0"/>
              <w:right w:val="single" w:color="000000" w:sz="4" w:space="0"/>
            </w:tcBorders>
          </w:tcPr>
          <w:p>
            <w:pPr>
              <w:spacing w:line="400" w:lineRule="exact"/>
              <w:rPr>
                <w:rFonts w:hint="eastAsia" w:ascii="宋体" w:hAnsi="宋体" w:eastAsia="宋体" w:cs="宋体"/>
                <w:color w:val="auto"/>
                <w:sz w:val="24"/>
                <w:highlight w:val="none"/>
              </w:rPr>
            </w:pPr>
          </w:p>
        </w:tc>
        <w:tc>
          <w:tcPr>
            <w:tcW w:w="2565" w:type="dxa"/>
            <w:tcBorders>
              <w:top w:val="single" w:color="000000" w:sz="4" w:space="0"/>
              <w:left w:val="single" w:color="000000" w:sz="4" w:space="0"/>
              <w:bottom w:val="single" w:color="000000" w:sz="4" w:space="0"/>
              <w:right w:val="single" w:color="000000" w:sz="4" w:space="0"/>
            </w:tcBorders>
          </w:tcPr>
          <w:p>
            <w:pPr>
              <w:spacing w:line="400" w:lineRule="exact"/>
              <w:rPr>
                <w:rFonts w:hint="eastAsia" w:ascii="宋体" w:hAnsi="宋体" w:eastAsia="宋体" w:cs="宋体"/>
                <w:color w:val="auto"/>
                <w:sz w:val="24"/>
                <w:highlight w:val="none"/>
              </w:rPr>
            </w:pPr>
          </w:p>
        </w:tc>
      </w:tr>
      <w:tr>
        <w:tblPrEx>
          <w:tblCellMar>
            <w:top w:w="0" w:type="dxa"/>
            <w:left w:w="5" w:type="dxa"/>
            <w:bottom w:w="0" w:type="dxa"/>
            <w:right w:w="0" w:type="dxa"/>
          </w:tblCellMar>
        </w:tblPrEx>
        <w:tc>
          <w:tcPr>
            <w:tcW w:w="854" w:type="dxa"/>
            <w:tcBorders>
              <w:top w:val="single" w:color="000000" w:sz="4" w:space="0"/>
              <w:left w:val="single" w:color="000000" w:sz="4" w:space="0"/>
              <w:bottom w:val="single" w:color="000000" w:sz="4" w:space="0"/>
              <w:right w:val="single" w:color="000000" w:sz="4" w:space="0"/>
            </w:tcBorders>
          </w:tcPr>
          <w:p>
            <w:pPr>
              <w:spacing w:line="400" w:lineRule="exact"/>
              <w:rPr>
                <w:rFonts w:hint="eastAsia" w:ascii="宋体" w:hAnsi="宋体" w:eastAsia="宋体" w:cs="宋体"/>
                <w:color w:val="auto"/>
                <w:sz w:val="24"/>
                <w:highlight w:val="none"/>
              </w:rPr>
            </w:pPr>
          </w:p>
        </w:tc>
        <w:tc>
          <w:tcPr>
            <w:tcW w:w="2996" w:type="dxa"/>
            <w:tcBorders>
              <w:top w:val="single" w:color="000000" w:sz="4" w:space="0"/>
              <w:left w:val="single" w:color="000000" w:sz="4" w:space="0"/>
              <w:bottom w:val="single" w:color="000000" w:sz="4" w:space="0"/>
              <w:right w:val="single" w:color="000000" w:sz="4" w:space="0"/>
            </w:tcBorders>
          </w:tcPr>
          <w:p>
            <w:pPr>
              <w:spacing w:line="400" w:lineRule="exact"/>
              <w:rPr>
                <w:rFonts w:hint="eastAsia" w:ascii="宋体" w:hAnsi="宋体" w:eastAsia="宋体" w:cs="宋体"/>
                <w:color w:val="auto"/>
                <w:sz w:val="24"/>
                <w:highlight w:val="none"/>
              </w:rPr>
            </w:pPr>
          </w:p>
        </w:tc>
        <w:tc>
          <w:tcPr>
            <w:tcW w:w="2665" w:type="dxa"/>
            <w:tcBorders>
              <w:top w:val="single" w:color="000000" w:sz="4" w:space="0"/>
              <w:left w:val="single" w:color="000000" w:sz="4" w:space="0"/>
              <w:bottom w:val="single" w:color="000000" w:sz="4" w:space="0"/>
              <w:right w:val="single" w:color="000000" w:sz="4" w:space="0"/>
            </w:tcBorders>
          </w:tcPr>
          <w:p>
            <w:pPr>
              <w:spacing w:line="400" w:lineRule="exact"/>
              <w:rPr>
                <w:rFonts w:hint="eastAsia" w:ascii="宋体" w:hAnsi="宋体" w:eastAsia="宋体" w:cs="宋体"/>
                <w:color w:val="auto"/>
                <w:sz w:val="24"/>
                <w:highlight w:val="none"/>
              </w:rPr>
            </w:pPr>
          </w:p>
        </w:tc>
        <w:tc>
          <w:tcPr>
            <w:tcW w:w="2565" w:type="dxa"/>
            <w:tcBorders>
              <w:top w:val="single" w:color="000000" w:sz="4" w:space="0"/>
              <w:left w:val="single" w:color="000000" w:sz="4" w:space="0"/>
              <w:bottom w:val="single" w:color="000000" w:sz="4" w:space="0"/>
              <w:right w:val="single" w:color="000000" w:sz="4" w:space="0"/>
            </w:tcBorders>
          </w:tcPr>
          <w:p>
            <w:pPr>
              <w:spacing w:line="400" w:lineRule="exact"/>
              <w:rPr>
                <w:rFonts w:hint="eastAsia" w:ascii="宋体" w:hAnsi="宋体" w:eastAsia="宋体" w:cs="宋体"/>
                <w:color w:val="auto"/>
                <w:sz w:val="24"/>
                <w:highlight w:val="none"/>
              </w:rPr>
            </w:pPr>
          </w:p>
        </w:tc>
      </w:tr>
      <w:tr>
        <w:tblPrEx>
          <w:tblCellMar>
            <w:top w:w="0" w:type="dxa"/>
            <w:left w:w="5" w:type="dxa"/>
            <w:bottom w:w="0" w:type="dxa"/>
            <w:right w:w="0" w:type="dxa"/>
          </w:tblCellMar>
        </w:tblPrEx>
        <w:tc>
          <w:tcPr>
            <w:tcW w:w="854" w:type="dxa"/>
            <w:tcBorders>
              <w:top w:val="single" w:color="000000" w:sz="4" w:space="0"/>
              <w:left w:val="single" w:color="000000" w:sz="4" w:space="0"/>
              <w:bottom w:val="single" w:color="000000" w:sz="4" w:space="0"/>
              <w:right w:val="single" w:color="000000" w:sz="4" w:space="0"/>
            </w:tcBorders>
          </w:tcPr>
          <w:p>
            <w:pPr>
              <w:spacing w:line="400" w:lineRule="exact"/>
              <w:rPr>
                <w:rFonts w:hint="eastAsia" w:ascii="宋体" w:hAnsi="宋体" w:eastAsia="宋体" w:cs="宋体"/>
                <w:color w:val="auto"/>
                <w:sz w:val="24"/>
                <w:highlight w:val="none"/>
              </w:rPr>
            </w:pPr>
          </w:p>
        </w:tc>
        <w:tc>
          <w:tcPr>
            <w:tcW w:w="2996" w:type="dxa"/>
            <w:tcBorders>
              <w:top w:val="single" w:color="000000" w:sz="4" w:space="0"/>
              <w:left w:val="single" w:color="000000" w:sz="4" w:space="0"/>
              <w:bottom w:val="single" w:color="000000" w:sz="4" w:space="0"/>
              <w:right w:val="single" w:color="000000" w:sz="4" w:space="0"/>
            </w:tcBorders>
          </w:tcPr>
          <w:p>
            <w:pPr>
              <w:spacing w:line="400" w:lineRule="exact"/>
              <w:rPr>
                <w:rFonts w:hint="eastAsia" w:ascii="宋体" w:hAnsi="宋体" w:eastAsia="宋体" w:cs="宋体"/>
                <w:color w:val="auto"/>
                <w:sz w:val="24"/>
                <w:highlight w:val="none"/>
              </w:rPr>
            </w:pPr>
          </w:p>
        </w:tc>
        <w:tc>
          <w:tcPr>
            <w:tcW w:w="2665" w:type="dxa"/>
            <w:tcBorders>
              <w:top w:val="single" w:color="000000" w:sz="4" w:space="0"/>
              <w:left w:val="single" w:color="000000" w:sz="4" w:space="0"/>
              <w:bottom w:val="single" w:color="000000" w:sz="4" w:space="0"/>
              <w:right w:val="single" w:color="000000" w:sz="4" w:space="0"/>
            </w:tcBorders>
          </w:tcPr>
          <w:p>
            <w:pPr>
              <w:spacing w:line="400" w:lineRule="exact"/>
              <w:rPr>
                <w:rFonts w:hint="eastAsia" w:ascii="宋体" w:hAnsi="宋体" w:eastAsia="宋体" w:cs="宋体"/>
                <w:color w:val="auto"/>
                <w:sz w:val="24"/>
                <w:highlight w:val="none"/>
              </w:rPr>
            </w:pPr>
          </w:p>
        </w:tc>
        <w:tc>
          <w:tcPr>
            <w:tcW w:w="2565" w:type="dxa"/>
            <w:tcBorders>
              <w:top w:val="single" w:color="000000" w:sz="4" w:space="0"/>
              <w:left w:val="single" w:color="000000" w:sz="4" w:space="0"/>
              <w:bottom w:val="single" w:color="000000" w:sz="4" w:space="0"/>
              <w:right w:val="single" w:color="000000" w:sz="4" w:space="0"/>
            </w:tcBorders>
          </w:tcPr>
          <w:p>
            <w:pPr>
              <w:spacing w:line="400" w:lineRule="exact"/>
              <w:rPr>
                <w:rFonts w:hint="eastAsia" w:ascii="宋体" w:hAnsi="宋体" w:eastAsia="宋体" w:cs="宋体"/>
                <w:color w:val="auto"/>
                <w:sz w:val="24"/>
                <w:highlight w:val="none"/>
              </w:rPr>
            </w:pPr>
          </w:p>
        </w:tc>
      </w:tr>
    </w:tbl>
    <w:p>
      <w:pPr>
        <w:pStyle w:val="88"/>
        <w:spacing w:line="400" w:lineRule="atLeast"/>
        <w:rPr>
          <w:rFonts w:hint="eastAsia" w:ascii="宋体" w:hAnsi="宋体" w:eastAsia="宋体" w:cs="宋体"/>
          <w:color w:val="auto"/>
          <w:highlight w:val="none"/>
        </w:rPr>
      </w:pPr>
      <w:r>
        <w:rPr>
          <w:rFonts w:hint="eastAsia" w:ascii="宋体" w:hAnsi="宋体" w:eastAsia="宋体" w:cs="宋体"/>
          <w:color w:val="auto"/>
          <w:sz w:val="24"/>
          <w:highlight w:val="none"/>
        </w:rPr>
        <w:t>我单位确认，除以上列明的负偏离外，无其他负偏离。</w:t>
      </w:r>
    </w:p>
    <w:p>
      <w:pPr>
        <w:pStyle w:val="88"/>
        <w:spacing w:line="400" w:lineRule="atLeast"/>
        <w:rPr>
          <w:rFonts w:hint="eastAsia" w:ascii="宋体" w:hAnsi="宋体" w:eastAsia="宋体" w:cs="宋体"/>
          <w:color w:val="auto"/>
          <w:highlight w:val="none"/>
        </w:rPr>
      </w:pPr>
    </w:p>
    <w:p>
      <w:pPr>
        <w:snapToGrid w:val="0"/>
        <w:spacing w:line="360" w:lineRule="auto"/>
        <w:rPr>
          <w:rFonts w:hint="eastAsia" w:ascii="宋体" w:hAnsi="宋体" w:eastAsia="宋体" w:cs="宋体"/>
          <w:b/>
          <w:bCs/>
          <w:color w:val="auto"/>
          <w:highlight w:val="none"/>
          <w:u w:val="single"/>
        </w:rPr>
      </w:pPr>
      <w:r>
        <w:rPr>
          <w:rFonts w:hint="eastAsia" w:ascii="宋体" w:hAnsi="宋体" w:eastAsia="宋体" w:cs="宋体"/>
          <w:b/>
          <w:bCs/>
          <w:color w:val="auto"/>
          <w:sz w:val="24"/>
          <w:highlight w:val="none"/>
        </w:rPr>
        <w:t>加盖供应商公章：</w:t>
      </w:r>
      <w:r>
        <w:rPr>
          <w:rFonts w:hint="eastAsia" w:ascii="宋体" w:hAnsi="宋体" w:eastAsia="宋体" w:cs="宋体"/>
          <w:b/>
          <w:bCs/>
          <w:color w:val="auto"/>
          <w:sz w:val="24"/>
          <w:highlight w:val="none"/>
          <w:u w:val="single"/>
        </w:rPr>
        <w:t xml:space="preserve">          </w:t>
      </w:r>
    </w:p>
    <w:p>
      <w:pPr>
        <w:pStyle w:val="104"/>
        <w:snapToGrid w:val="0"/>
        <w:spacing w:line="360" w:lineRule="auto"/>
        <w:rPr>
          <w:rFonts w:hint="eastAsia" w:ascii="宋体" w:hAnsi="宋体" w:eastAsia="宋体" w:cs="宋体"/>
          <w:b/>
          <w:bCs/>
          <w:color w:val="auto"/>
          <w:highlight w:val="none"/>
        </w:rPr>
      </w:pPr>
      <w:r>
        <w:rPr>
          <w:rFonts w:hint="eastAsia" w:ascii="宋体" w:hAnsi="宋体" w:eastAsia="宋体" w:cs="宋体"/>
          <w:b/>
          <w:bCs/>
          <w:color w:val="auto"/>
          <w:sz w:val="24"/>
          <w:highlight w:val="none"/>
        </w:rPr>
        <w:t>日期：</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 xml:space="preserve"> </w:t>
      </w:r>
    </w:p>
    <w:p>
      <w:pPr>
        <w:spacing w:line="400" w:lineRule="exact"/>
        <w:ind w:left="630" w:firstLine="210"/>
        <w:rPr>
          <w:rFonts w:hint="eastAsia" w:ascii="宋体" w:hAnsi="宋体" w:eastAsia="宋体" w:cs="宋体"/>
          <w:color w:val="auto"/>
          <w:highlight w:val="none"/>
        </w:rPr>
      </w:pPr>
    </w:p>
    <w:p>
      <w:pPr>
        <w:spacing w:line="400" w:lineRule="exact"/>
        <w:rPr>
          <w:rFonts w:hint="eastAsia" w:ascii="宋体" w:hAnsi="宋体" w:eastAsia="宋体" w:cs="宋体"/>
          <w:b/>
          <w:color w:val="auto"/>
          <w:sz w:val="24"/>
          <w:highlight w:val="none"/>
          <w:u w:val="single"/>
        </w:rPr>
      </w:pPr>
    </w:p>
    <w:p>
      <w:pPr>
        <w:pStyle w:val="88"/>
        <w:spacing w:line="400" w:lineRule="atLeast"/>
        <w:ind w:left="630" w:hanging="630"/>
        <w:rPr>
          <w:rFonts w:hint="eastAsia" w:ascii="宋体" w:hAnsi="宋体" w:eastAsia="宋体" w:cs="宋体"/>
          <w:color w:val="auto"/>
          <w:highlight w:val="none"/>
        </w:rPr>
      </w:pPr>
    </w:p>
    <w:p>
      <w:pPr>
        <w:pStyle w:val="88"/>
        <w:spacing w:line="400" w:lineRule="atLeast"/>
        <w:ind w:left="630" w:hanging="630"/>
        <w:rPr>
          <w:rFonts w:hint="eastAsia" w:ascii="宋体" w:hAnsi="宋体" w:eastAsia="宋体" w:cs="宋体"/>
          <w:color w:val="auto"/>
          <w:highlight w:val="none"/>
        </w:rPr>
      </w:pPr>
      <w:r>
        <w:rPr>
          <w:rFonts w:hint="eastAsia" w:ascii="宋体" w:hAnsi="宋体" w:eastAsia="宋体" w:cs="宋体"/>
          <w:color w:val="auto"/>
          <w:sz w:val="24"/>
          <w:highlight w:val="none"/>
        </w:rPr>
        <w:t>注解：</w:t>
      </w:r>
    </w:p>
    <w:p>
      <w:pPr>
        <w:pStyle w:val="88"/>
        <w:spacing w:line="400" w:lineRule="atLeast"/>
        <w:ind w:left="10" w:hanging="10"/>
        <w:rPr>
          <w:rFonts w:hint="eastAsia" w:ascii="宋体" w:hAnsi="宋体" w:eastAsia="宋体" w:cs="宋体"/>
          <w:color w:val="auto"/>
          <w:highlight w:val="none"/>
        </w:rPr>
      </w:pPr>
      <w:r>
        <w:rPr>
          <w:rFonts w:hint="eastAsia" w:ascii="宋体" w:hAnsi="宋体" w:eastAsia="宋体" w:cs="宋体"/>
          <w:color w:val="auto"/>
          <w:sz w:val="24"/>
          <w:highlight w:val="none"/>
        </w:rPr>
        <w:t>1.若供应商有对磋商文件</w:t>
      </w:r>
      <w:r>
        <w:rPr>
          <w:rFonts w:hint="eastAsia" w:ascii="宋体" w:hAnsi="宋体" w:eastAsia="宋体" w:cs="宋体"/>
          <w:b/>
          <w:bCs/>
          <w:color w:val="auto"/>
          <w:sz w:val="24"/>
          <w:highlight w:val="none"/>
        </w:rPr>
        <w:t>第四章和第五章</w:t>
      </w:r>
      <w:r>
        <w:rPr>
          <w:rFonts w:hint="eastAsia" w:ascii="宋体" w:hAnsi="宋体" w:eastAsia="宋体" w:cs="宋体"/>
          <w:color w:val="auto"/>
          <w:sz w:val="24"/>
          <w:highlight w:val="none"/>
        </w:rPr>
        <w:t>的任何负偏离，须在上述表格中全部列明。若无负偏离，只需填写“无负偏离”。</w:t>
      </w:r>
      <w:r>
        <w:rPr>
          <w:rFonts w:hint="eastAsia" w:ascii="宋体" w:hAnsi="宋体" w:eastAsia="宋体" w:cs="宋体"/>
          <w:b/>
          <w:color w:val="auto"/>
          <w:sz w:val="24"/>
          <w:highlight w:val="none"/>
        </w:rPr>
        <w:t>供应商无需对第四章的合同条款逐一对应应答，若有负偏离，请在上表中列出即可。</w:t>
      </w:r>
    </w:p>
    <w:p>
      <w:pPr>
        <w:spacing w:line="400" w:lineRule="exact"/>
        <w:rPr>
          <w:rFonts w:hint="eastAsia" w:ascii="宋体" w:hAnsi="宋体" w:eastAsia="宋体" w:cs="宋体"/>
          <w:color w:val="auto"/>
          <w:highlight w:val="none"/>
        </w:rPr>
      </w:pPr>
      <w:r>
        <w:rPr>
          <w:rFonts w:hint="eastAsia" w:ascii="宋体" w:hAnsi="宋体" w:eastAsia="宋体" w:cs="宋体"/>
          <w:color w:val="auto"/>
          <w:sz w:val="24"/>
          <w:highlight w:val="none"/>
        </w:rPr>
        <w:t>2.若成交单位在签约时，以未在上述表格中列出的负偏离为由对磋商文件的规定提出任何负偏离，将可能导致其成交资格被取消并没收其保证金；同时采购人有权按评审时的候选人排名顺序，另行确定成交单位，或另行组织采购。</w:t>
      </w:r>
    </w:p>
    <w:p>
      <w:pPr>
        <w:spacing w:line="400" w:lineRule="exact"/>
        <w:rPr>
          <w:rFonts w:hint="eastAsia" w:ascii="宋体" w:hAnsi="宋体" w:eastAsia="宋体" w:cs="宋体"/>
          <w:color w:val="auto"/>
          <w:highlight w:val="none"/>
        </w:rPr>
      </w:pPr>
    </w:p>
    <w:p>
      <w:pPr>
        <w:spacing w:line="400" w:lineRule="exact"/>
        <w:rPr>
          <w:rFonts w:hint="eastAsia" w:ascii="宋体" w:hAnsi="宋体" w:eastAsia="宋体" w:cs="宋体"/>
          <w:color w:val="auto"/>
          <w:highlight w:val="none"/>
        </w:rPr>
      </w:pPr>
    </w:p>
    <w:p>
      <w:pPr>
        <w:spacing w:line="400" w:lineRule="exact"/>
        <w:rPr>
          <w:rFonts w:hint="eastAsia" w:ascii="宋体" w:hAnsi="宋体" w:eastAsia="宋体" w:cs="宋体"/>
          <w:color w:val="auto"/>
          <w:highlight w:val="none"/>
        </w:rPr>
      </w:pPr>
    </w:p>
    <w:p>
      <w:pPr>
        <w:spacing w:line="400" w:lineRule="exact"/>
        <w:rPr>
          <w:rFonts w:hint="eastAsia" w:ascii="宋体" w:hAnsi="宋体" w:eastAsia="宋体" w:cs="宋体"/>
          <w:color w:val="auto"/>
          <w:highlight w:val="none"/>
        </w:rPr>
      </w:pPr>
    </w:p>
    <w:p>
      <w:pPr>
        <w:spacing w:line="400" w:lineRule="exact"/>
        <w:rPr>
          <w:rFonts w:hint="eastAsia" w:ascii="宋体" w:hAnsi="宋体" w:eastAsia="宋体" w:cs="宋体"/>
          <w:color w:val="auto"/>
          <w:highlight w:val="none"/>
        </w:rPr>
      </w:pPr>
    </w:p>
    <w:p>
      <w:pPr>
        <w:spacing w:line="400" w:lineRule="exact"/>
        <w:rPr>
          <w:rFonts w:hint="eastAsia" w:ascii="宋体" w:hAnsi="宋体" w:eastAsia="宋体" w:cs="宋体"/>
          <w:color w:val="auto"/>
          <w:highlight w:val="none"/>
        </w:rPr>
      </w:pPr>
    </w:p>
    <w:p>
      <w:pPr>
        <w:spacing w:line="400" w:lineRule="exact"/>
        <w:rPr>
          <w:rFonts w:hint="eastAsia" w:ascii="宋体" w:hAnsi="宋体" w:eastAsia="宋体" w:cs="宋体"/>
          <w:color w:val="auto"/>
          <w:highlight w:val="none"/>
        </w:rPr>
      </w:pPr>
    </w:p>
    <w:p>
      <w:pPr>
        <w:spacing w:line="400" w:lineRule="exact"/>
        <w:rPr>
          <w:rFonts w:hint="eastAsia" w:ascii="宋体" w:hAnsi="宋体" w:eastAsia="宋体" w:cs="宋体"/>
          <w:color w:val="auto"/>
          <w:highlight w:val="none"/>
        </w:rPr>
      </w:pPr>
    </w:p>
    <w:p>
      <w:pPr>
        <w:pStyle w:val="5"/>
        <w:pageBreakBefore/>
        <w:snapToGrid w:val="0"/>
        <w:spacing w:before="0" w:after="0" w:line="240" w:lineRule="auto"/>
        <w:jc w:val="center"/>
        <w:rPr>
          <w:rFonts w:hint="eastAsia" w:ascii="宋体" w:hAnsi="宋体" w:eastAsia="宋体" w:cs="宋体"/>
          <w:color w:val="auto"/>
          <w:highlight w:val="none"/>
        </w:rPr>
      </w:pPr>
      <w:bookmarkStart w:id="946" w:name="_Toc20291"/>
      <w:bookmarkStart w:id="947" w:name="_Toc32417"/>
      <w:bookmarkStart w:id="948" w:name="_Toc28048"/>
      <w:bookmarkStart w:id="949" w:name="_Toc7572"/>
      <w:bookmarkStart w:id="950" w:name="_Toc31008"/>
      <w:bookmarkStart w:id="951" w:name="_Toc28882"/>
      <w:bookmarkStart w:id="952" w:name="_Toc29612"/>
      <w:bookmarkStart w:id="953" w:name="_Toc14489"/>
      <w:bookmarkStart w:id="954" w:name="_Toc9024"/>
      <w:r>
        <w:rPr>
          <w:rFonts w:hint="eastAsia" w:ascii="宋体" w:hAnsi="宋体" w:eastAsia="宋体" w:cs="宋体"/>
          <w:color w:val="auto"/>
          <w:highlight w:val="none"/>
        </w:rPr>
        <w:t xml:space="preserve">附件3. </w:t>
      </w:r>
      <w:bookmarkEnd w:id="946"/>
      <w:bookmarkEnd w:id="947"/>
      <w:bookmarkEnd w:id="948"/>
      <w:r>
        <w:rPr>
          <w:rFonts w:hint="eastAsia" w:ascii="宋体" w:hAnsi="宋体" w:eastAsia="宋体" w:cs="宋体"/>
          <w:color w:val="auto"/>
          <w:highlight w:val="none"/>
        </w:rPr>
        <w:t>评分应答文件</w:t>
      </w:r>
      <w:bookmarkEnd w:id="949"/>
      <w:bookmarkEnd w:id="950"/>
      <w:bookmarkEnd w:id="951"/>
      <w:bookmarkEnd w:id="952"/>
      <w:bookmarkEnd w:id="953"/>
      <w:bookmarkEnd w:id="954"/>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highlight w:val="none"/>
        </w:rPr>
        <w:t>根据评分细则及第五章的相关要求，由供应商自行编写、提供</w:t>
      </w:r>
      <w:r>
        <w:rPr>
          <w:rFonts w:hint="eastAsia" w:ascii="宋体" w:hAnsi="宋体" w:eastAsia="宋体" w:cs="宋体"/>
          <w:color w:val="auto"/>
          <w:sz w:val="24"/>
          <w:szCs w:val="24"/>
          <w:highlight w:val="none"/>
        </w:rPr>
        <w:t>）</w:t>
      </w:r>
    </w:p>
    <w:p>
      <w:pPr>
        <w:pStyle w:val="5"/>
        <w:spacing w:line="400" w:lineRule="exact"/>
        <w:jc w:val="center"/>
        <w:rPr>
          <w:rFonts w:hint="eastAsia" w:ascii="宋体" w:hAnsi="宋体" w:eastAsia="宋体" w:cs="宋体"/>
          <w:color w:val="auto"/>
          <w:highlight w:val="none"/>
        </w:rPr>
      </w:pPr>
    </w:p>
    <w:p>
      <w:pPr>
        <w:rPr>
          <w:rFonts w:hint="eastAsia" w:ascii="宋体" w:hAnsi="宋体" w:eastAsia="宋体" w:cs="宋体"/>
          <w:color w:val="auto"/>
          <w:highlight w:val="none"/>
        </w:rPr>
      </w:pPr>
    </w:p>
    <w:p>
      <w:pPr>
        <w:pageBreakBefore/>
        <w:snapToGrid w:val="0"/>
        <w:ind w:firstLine="645"/>
        <w:rPr>
          <w:rFonts w:hint="eastAsia" w:ascii="宋体" w:hAnsi="宋体" w:eastAsia="宋体" w:cs="宋体"/>
          <w:color w:val="auto"/>
          <w:highlight w:val="none"/>
        </w:rPr>
      </w:pPr>
    </w:p>
    <w:p>
      <w:pPr>
        <w:pStyle w:val="5"/>
        <w:snapToGrid w:val="0"/>
        <w:spacing w:before="0" w:after="0" w:line="240" w:lineRule="auto"/>
        <w:jc w:val="center"/>
        <w:rPr>
          <w:rFonts w:hint="eastAsia" w:ascii="宋体" w:hAnsi="宋体" w:eastAsia="宋体" w:cs="宋体"/>
          <w:color w:val="auto"/>
          <w:highlight w:val="none"/>
        </w:rPr>
      </w:pPr>
      <w:bookmarkStart w:id="955" w:name="_Toc13407"/>
      <w:bookmarkStart w:id="956" w:name="_Toc379571910"/>
      <w:bookmarkStart w:id="957" w:name="_Toc414456738"/>
      <w:bookmarkStart w:id="958" w:name="_Toc352358166"/>
      <w:bookmarkStart w:id="959" w:name="_Toc29273"/>
      <w:bookmarkStart w:id="960" w:name="_Toc377394466"/>
      <w:bookmarkStart w:id="961" w:name="_Toc14645"/>
      <w:bookmarkStart w:id="962" w:name="_Toc21333"/>
      <w:bookmarkStart w:id="963" w:name="_Toc20899"/>
      <w:bookmarkStart w:id="964" w:name="_Toc352357980"/>
      <w:bookmarkStart w:id="965" w:name="_Toc25028"/>
      <w:bookmarkStart w:id="966" w:name="_Toc5129"/>
      <w:bookmarkStart w:id="967" w:name="_Toc25061"/>
      <w:bookmarkStart w:id="968" w:name="_Toc31467"/>
      <w:bookmarkStart w:id="969" w:name="_Toc19388"/>
      <w:bookmarkStart w:id="970" w:name="_Toc1529"/>
      <w:bookmarkStart w:id="971" w:name="_Toc374966533"/>
      <w:bookmarkStart w:id="972" w:name="_Toc370122757"/>
      <w:r>
        <w:rPr>
          <w:rFonts w:hint="eastAsia" w:ascii="宋体" w:hAnsi="宋体" w:eastAsia="宋体" w:cs="宋体"/>
          <w:color w:val="auto"/>
          <w:highlight w:val="none"/>
        </w:rPr>
        <w:t>附件4．担保函格式</w:t>
      </w:r>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pPr>
        <w:snapToGrid w:val="0"/>
        <w:jc w:val="center"/>
        <w:rPr>
          <w:rFonts w:hint="eastAsia" w:ascii="宋体" w:hAnsi="宋体" w:eastAsia="宋体" w:cs="宋体"/>
          <w:b/>
          <w:color w:val="auto"/>
          <w:sz w:val="24"/>
          <w:highlight w:val="none"/>
        </w:rPr>
      </w:pPr>
    </w:p>
    <w:p>
      <w:pPr>
        <w:snapToGrid w:val="0"/>
        <w:jc w:val="center"/>
        <w:rPr>
          <w:rFonts w:hint="eastAsia" w:ascii="宋体" w:hAnsi="宋体" w:eastAsia="宋体" w:cs="宋体"/>
          <w:color w:val="auto"/>
          <w:highlight w:val="none"/>
        </w:rPr>
      </w:pPr>
      <w:r>
        <w:rPr>
          <w:rFonts w:hint="eastAsia" w:ascii="宋体" w:hAnsi="宋体" w:eastAsia="宋体" w:cs="宋体"/>
          <w:b/>
          <w:color w:val="auto"/>
          <w:sz w:val="24"/>
          <w:highlight w:val="none"/>
        </w:rPr>
        <w:t>（只在以担保函形式作为保证金时适用，具体内容可根据开具保函单位的要求调整）</w:t>
      </w:r>
    </w:p>
    <w:p>
      <w:pPr>
        <w:snapToGrid w:val="0"/>
        <w:rPr>
          <w:rFonts w:hint="eastAsia" w:ascii="宋体" w:hAnsi="宋体" w:eastAsia="宋体" w:cs="宋体"/>
          <w:color w:val="auto"/>
          <w:highlight w:val="none"/>
        </w:rPr>
      </w:pPr>
    </w:p>
    <w:p>
      <w:pPr>
        <w:pStyle w:val="104"/>
        <w:ind w:left="420"/>
        <w:jc w:val="center"/>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开具日期：</w:t>
      </w:r>
    </w:p>
    <w:p>
      <w:pPr>
        <w:pStyle w:val="104"/>
        <w:rPr>
          <w:rFonts w:hint="eastAsia" w:ascii="宋体" w:hAnsi="宋体" w:eastAsia="宋体" w:cs="宋体"/>
          <w:color w:val="auto"/>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(采购代理机构)</w:t>
      </w:r>
    </w:p>
    <w:p>
      <w:pPr>
        <w:pStyle w:val="104"/>
        <w:spacing w:line="360" w:lineRule="auto"/>
        <w:jc w:val="left"/>
        <w:rPr>
          <w:rFonts w:hint="eastAsia" w:ascii="宋体" w:hAnsi="宋体" w:eastAsia="宋体" w:cs="宋体"/>
          <w:color w:val="auto"/>
          <w:highlight w:val="none"/>
        </w:rPr>
      </w:pP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xml:space="preserve">    本保函作为</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 xml:space="preserve">(以下简称“供应商”)对 </w:t>
      </w:r>
      <w:r>
        <w:rPr>
          <w:rFonts w:hint="eastAsia" w:ascii="宋体" w:hAnsi="宋体" w:eastAsia="宋体" w:cs="宋体"/>
          <w:color w:val="auto"/>
          <w:sz w:val="24"/>
          <w:highlight w:val="none"/>
          <w:u w:val="single"/>
        </w:rPr>
        <w:t>(采购代理机构)（项目编号）</w:t>
      </w:r>
      <w:r>
        <w:rPr>
          <w:rFonts w:hint="eastAsia" w:ascii="宋体" w:hAnsi="宋体" w:eastAsia="宋体" w:cs="宋体"/>
          <w:color w:val="auto"/>
          <w:sz w:val="24"/>
          <w:highlight w:val="none"/>
        </w:rPr>
        <w:t>的磋商邀请提供</w:t>
      </w:r>
      <w:r>
        <w:rPr>
          <w:rFonts w:hint="eastAsia" w:ascii="宋体" w:hAnsi="宋体" w:eastAsia="宋体" w:cs="宋体"/>
          <w:color w:val="auto"/>
          <w:sz w:val="24"/>
          <w:highlight w:val="none"/>
          <w:u w:val="single"/>
        </w:rPr>
        <w:t>（货物/服务名称）</w:t>
      </w:r>
      <w:r>
        <w:rPr>
          <w:rFonts w:hint="eastAsia" w:ascii="宋体" w:hAnsi="宋体" w:eastAsia="宋体" w:cs="宋体"/>
          <w:color w:val="auto"/>
          <w:sz w:val="24"/>
          <w:highlight w:val="none"/>
        </w:rPr>
        <w:t>的保函。</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u w:val="single"/>
        </w:rPr>
        <w:t>(出具保函银行名称）</w:t>
      </w:r>
      <w:r>
        <w:rPr>
          <w:rFonts w:hint="eastAsia" w:ascii="宋体" w:hAnsi="宋体" w:eastAsia="宋体" w:cs="宋体"/>
          <w:color w:val="auto"/>
          <w:sz w:val="24"/>
          <w:highlight w:val="none"/>
        </w:rPr>
        <w:t>无条件地、不可撤销地具结保证本行、其继承人和受让人，一旦收到贵方提出的就下述任何一种事实的书面通知，立即无追索地向贵方支付金额为</w:t>
      </w:r>
      <w:r>
        <w:rPr>
          <w:rFonts w:hint="eastAsia" w:ascii="宋体" w:hAnsi="宋体" w:eastAsia="宋体" w:cs="宋体"/>
          <w:color w:val="auto"/>
          <w:sz w:val="24"/>
          <w:highlight w:val="none"/>
          <w:u w:val="single"/>
        </w:rPr>
        <w:t xml:space="preserve"> (金额数和币种) </w:t>
      </w:r>
      <w:r>
        <w:rPr>
          <w:rFonts w:hint="eastAsia" w:ascii="宋体" w:hAnsi="宋体" w:eastAsia="宋体" w:cs="宋体"/>
          <w:color w:val="auto"/>
          <w:sz w:val="24"/>
          <w:highlight w:val="none"/>
        </w:rPr>
        <w:t xml:space="preserve">保证金： </w:t>
      </w:r>
    </w:p>
    <w:p>
      <w:pPr>
        <w:pStyle w:val="104"/>
        <w:spacing w:line="360" w:lineRule="auto"/>
        <w:jc w:val="left"/>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1.在递交响应文件截止时间至响应文件有效期满前，供应商撤回最终响应文件；</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xml:space="preserve">    2.在收到成交通知后30日内，供应商未能与采购人签订合同；</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xml:space="preserve">    3.在收到成交通知后30日内，供应商未能按磋商文件规定提交履约保证金（不适用情况除外）；</w:t>
      </w:r>
    </w:p>
    <w:p>
      <w:pPr>
        <w:pStyle w:val="104"/>
        <w:spacing w:line="360" w:lineRule="auto"/>
        <w:ind w:left="1" w:firstLine="506"/>
        <w:jc w:val="left"/>
        <w:rPr>
          <w:rFonts w:hint="eastAsia" w:ascii="宋体" w:hAnsi="宋体" w:eastAsia="宋体" w:cs="宋体"/>
          <w:color w:val="auto"/>
          <w:highlight w:val="none"/>
        </w:rPr>
      </w:pPr>
      <w:r>
        <w:rPr>
          <w:rFonts w:hint="eastAsia" w:ascii="宋体" w:hAnsi="宋体" w:eastAsia="宋体" w:cs="宋体"/>
          <w:color w:val="auto"/>
          <w:sz w:val="24"/>
          <w:highlight w:val="none"/>
        </w:rPr>
        <w:t>4.在收到成交通知后，供应商未按磋商文件规定缴纳采购代理服务费。</w:t>
      </w:r>
      <w:r>
        <w:rPr>
          <w:rFonts w:hint="eastAsia" w:ascii="宋体" w:hAnsi="宋体" w:eastAsia="宋体" w:cs="宋体"/>
          <w:color w:val="auto"/>
          <w:sz w:val="24"/>
          <w:highlight w:val="none"/>
        </w:rPr>
        <w:br w:type="textWrapping"/>
      </w:r>
    </w:p>
    <w:p>
      <w:pPr>
        <w:pStyle w:val="104"/>
        <w:spacing w:line="360" w:lineRule="auto"/>
        <w:jc w:val="left"/>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本保函自递交响应文件之日起</w:t>
      </w:r>
      <w:r>
        <w:rPr>
          <w:rFonts w:hint="eastAsia" w:ascii="宋体" w:hAnsi="宋体" w:eastAsia="宋体" w:cs="宋体"/>
          <w:color w:val="auto"/>
          <w:sz w:val="24"/>
          <w:highlight w:val="none"/>
          <w:u w:val="single"/>
        </w:rPr>
        <w:t>（保函有效期日数）</w:t>
      </w:r>
      <w:r>
        <w:rPr>
          <w:rFonts w:hint="eastAsia" w:ascii="宋体" w:hAnsi="宋体" w:eastAsia="宋体" w:cs="宋体"/>
          <w:color w:val="auto"/>
          <w:sz w:val="24"/>
          <w:highlight w:val="none"/>
        </w:rPr>
        <w:t>日历日内有效，并在贵方和供应商同意延长的有效期内保持有效。延长的有效期只需通知本行即可。贵方有权提前终止或解除本保函。</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出具保函银行名称:</w:t>
      </w:r>
    </w:p>
    <w:p>
      <w:pPr>
        <w:pStyle w:val="104"/>
        <w:spacing w:line="560" w:lineRule="exact"/>
        <w:rPr>
          <w:rFonts w:hint="eastAsia" w:ascii="宋体" w:hAnsi="宋体" w:eastAsia="宋体" w:cs="宋体"/>
          <w:color w:val="auto"/>
          <w:highlight w:val="none"/>
        </w:rPr>
      </w:pPr>
      <w:r>
        <w:rPr>
          <w:rFonts w:hint="eastAsia" w:ascii="宋体" w:hAnsi="宋体" w:eastAsia="宋体" w:cs="宋体"/>
          <w:color w:val="auto"/>
          <w:sz w:val="24"/>
          <w:highlight w:val="none"/>
        </w:rPr>
        <w:t>签字人姓名和职务:</w:t>
      </w:r>
    </w:p>
    <w:p>
      <w:pPr>
        <w:pStyle w:val="104"/>
        <w:spacing w:line="560" w:lineRule="exact"/>
        <w:rPr>
          <w:rFonts w:hint="eastAsia" w:ascii="宋体" w:hAnsi="宋体" w:eastAsia="宋体" w:cs="宋体"/>
          <w:color w:val="auto"/>
          <w:highlight w:val="none"/>
        </w:rPr>
      </w:pPr>
      <w:r>
        <w:rPr>
          <w:rFonts w:hint="eastAsia" w:ascii="宋体" w:hAnsi="宋体" w:eastAsia="宋体" w:cs="宋体"/>
          <w:color w:val="auto"/>
          <w:spacing w:val="90"/>
          <w:sz w:val="24"/>
          <w:highlight w:val="none"/>
        </w:rPr>
        <w:t>签字人签</w:t>
      </w:r>
      <w:r>
        <w:rPr>
          <w:rFonts w:hint="eastAsia" w:ascii="宋体" w:hAnsi="宋体" w:eastAsia="宋体" w:cs="宋体"/>
          <w:color w:val="auto"/>
          <w:sz w:val="24"/>
          <w:highlight w:val="none"/>
        </w:rPr>
        <w:t>名:</w:t>
      </w:r>
    </w:p>
    <w:p>
      <w:pPr>
        <w:pStyle w:val="104"/>
        <w:spacing w:line="560" w:lineRule="exact"/>
        <w:rPr>
          <w:rFonts w:hint="eastAsia" w:ascii="宋体" w:hAnsi="宋体" w:eastAsia="宋体" w:cs="宋体"/>
          <w:color w:val="auto"/>
          <w:highlight w:val="none"/>
        </w:rPr>
      </w:pPr>
      <w:r>
        <w:rPr>
          <w:rFonts w:hint="eastAsia" w:ascii="宋体" w:hAnsi="宋体" w:eastAsia="宋体" w:cs="宋体"/>
          <w:color w:val="auto"/>
          <w:sz w:val="24"/>
          <w:highlight w:val="none"/>
        </w:rPr>
        <w:t>公            章:</w:t>
      </w:r>
    </w:p>
    <w:p>
      <w:pPr>
        <w:snapToGrid w:val="0"/>
        <w:spacing w:line="300" w:lineRule="auto"/>
        <w:rPr>
          <w:rFonts w:hint="eastAsia" w:ascii="宋体" w:hAnsi="宋体" w:eastAsia="宋体" w:cs="宋体"/>
          <w:color w:val="auto"/>
          <w:sz w:val="24"/>
          <w:highlight w:val="none"/>
        </w:rPr>
      </w:pPr>
    </w:p>
    <w:p>
      <w:pPr>
        <w:rPr>
          <w:rFonts w:hint="eastAsia" w:ascii="宋体" w:hAnsi="宋体" w:eastAsia="宋体" w:cs="宋体"/>
          <w:color w:val="auto"/>
          <w:highlight w:val="none"/>
        </w:rPr>
      </w:pPr>
      <w:r>
        <w:rPr>
          <w:rFonts w:hint="eastAsia" w:ascii="宋体" w:hAnsi="宋体" w:eastAsia="宋体" w:cs="宋体"/>
          <w:color w:val="auto"/>
          <w:sz w:val="24"/>
          <w:highlight w:val="none"/>
        </w:rPr>
        <w:t>（注解：供应商可根据银行或中国投资担保有限公司的保函格式调整上述内容，但需满足磋商文件要求，不能有实质性偏离。）</w:t>
      </w:r>
    </w:p>
    <w:p>
      <w:pPr>
        <w:snapToGrid w:val="0"/>
        <w:rPr>
          <w:rFonts w:hint="eastAsia" w:ascii="宋体" w:hAnsi="宋体" w:eastAsia="宋体" w:cs="宋体"/>
          <w:color w:val="auto"/>
          <w:highlight w:val="none"/>
        </w:rPr>
      </w:pPr>
    </w:p>
    <w:p>
      <w:pPr>
        <w:pStyle w:val="4"/>
        <w:spacing w:line="400" w:lineRule="exact"/>
        <w:ind w:right="12"/>
        <w:jc w:val="center"/>
        <w:rPr>
          <w:rFonts w:hint="eastAsia" w:ascii="宋体" w:hAnsi="宋体" w:eastAsia="宋体" w:cs="宋体"/>
          <w:color w:val="auto"/>
          <w:sz w:val="36"/>
          <w:highlight w:val="none"/>
        </w:rPr>
      </w:pPr>
      <w:bookmarkStart w:id="973" w:name="_Toc20001"/>
      <w:bookmarkStart w:id="974" w:name="_Toc27629"/>
      <w:bookmarkStart w:id="975" w:name="_Toc12786"/>
      <w:bookmarkStart w:id="976" w:name="_Toc5199"/>
      <w:bookmarkStart w:id="977" w:name="_Toc20976"/>
      <w:bookmarkStart w:id="978" w:name="_Toc24232"/>
      <w:bookmarkStart w:id="979" w:name="_Toc9341"/>
      <w:bookmarkStart w:id="980" w:name="_Toc24457"/>
      <w:bookmarkStart w:id="981" w:name="_Toc5477"/>
    </w:p>
    <w:p>
      <w:pPr>
        <w:pStyle w:val="4"/>
        <w:spacing w:line="400" w:lineRule="exact"/>
        <w:ind w:right="12"/>
        <w:jc w:val="center"/>
        <w:rPr>
          <w:rFonts w:hint="eastAsia" w:ascii="宋体" w:hAnsi="宋体" w:eastAsia="宋体" w:cs="宋体"/>
          <w:color w:val="auto"/>
          <w:sz w:val="36"/>
          <w:highlight w:val="none"/>
        </w:rPr>
      </w:pPr>
      <w:bookmarkStart w:id="982" w:name="_Toc19480"/>
      <w:bookmarkStart w:id="983" w:name="_Toc29521"/>
      <w:r>
        <w:rPr>
          <w:rFonts w:hint="eastAsia" w:ascii="宋体" w:hAnsi="宋体" w:eastAsia="宋体" w:cs="宋体"/>
          <w:color w:val="auto"/>
          <w:sz w:val="36"/>
          <w:highlight w:val="none"/>
        </w:rPr>
        <w:t>第四章 合同</w:t>
      </w:r>
      <w:bookmarkEnd w:id="973"/>
      <w:bookmarkEnd w:id="974"/>
      <w:bookmarkEnd w:id="975"/>
      <w:bookmarkEnd w:id="976"/>
      <w:bookmarkEnd w:id="977"/>
      <w:bookmarkEnd w:id="978"/>
      <w:bookmarkEnd w:id="979"/>
      <w:bookmarkEnd w:id="980"/>
      <w:bookmarkEnd w:id="981"/>
      <w:bookmarkEnd w:id="982"/>
      <w:r>
        <w:rPr>
          <w:rFonts w:hint="eastAsia" w:ascii="宋体" w:hAnsi="宋体" w:eastAsia="宋体" w:cs="宋体"/>
          <w:color w:val="auto"/>
          <w:sz w:val="36"/>
          <w:highlight w:val="none"/>
        </w:rPr>
        <w:t>条款</w:t>
      </w:r>
      <w:bookmarkEnd w:id="983"/>
    </w:p>
    <w:p>
      <w:pPr>
        <w:jc w:val="center"/>
        <w:rPr>
          <w:rFonts w:hint="eastAsia" w:ascii="宋体" w:hAnsi="宋体" w:eastAsia="宋体" w:cs="宋体"/>
          <w:color w:val="auto"/>
          <w:kern w:val="0"/>
          <w:sz w:val="36"/>
          <w:highlight w:val="none"/>
        </w:rPr>
      </w:pPr>
      <w:r>
        <w:rPr>
          <w:rFonts w:hint="eastAsia" w:ascii="宋体" w:hAnsi="宋体" w:eastAsia="宋体" w:cs="宋体"/>
          <w:color w:val="auto"/>
          <w:sz w:val="24"/>
          <w:highlight w:val="none"/>
        </w:rPr>
        <w:t>（合同格式中的未尽事宜在签约前由双方确定）</w:t>
      </w:r>
    </w:p>
    <w:p>
      <w:pPr>
        <w:tabs>
          <w:tab w:val="left" w:pos="640"/>
        </w:tabs>
        <w:spacing w:line="502" w:lineRule="exact"/>
        <w:ind w:right="-53"/>
        <w:rPr>
          <w:rFonts w:hint="eastAsia" w:ascii="宋体" w:hAnsi="宋体" w:eastAsia="宋体" w:cs="宋体"/>
          <w:b/>
          <w:bCs/>
          <w:color w:val="auto"/>
          <w:sz w:val="44"/>
          <w:szCs w:val="44"/>
          <w:highlight w:val="none"/>
        </w:rPr>
      </w:pPr>
    </w:p>
    <w:p>
      <w:pPr>
        <w:spacing w:line="360" w:lineRule="auto"/>
        <w:ind w:firstLine="0" w:firstLineChars="0"/>
        <w:jc w:val="center"/>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Cs/>
          <w:color w:val="auto"/>
          <w:sz w:val="32"/>
          <w:szCs w:val="32"/>
          <w:highlight w:val="none"/>
        </w:rPr>
        <w:t>赤峰市医院服务采购合同</w:t>
      </w:r>
    </w:p>
    <w:p>
      <w:pPr>
        <w:spacing w:line="360" w:lineRule="auto"/>
        <w:ind w:firstLine="482"/>
        <w:jc w:val="center"/>
        <w:rPr>
          <w:rFonts w:hint="eastAsia" w:ascii="宋体" w:hAnsi="宋体" w:eastAsia="宋体" w:cs="宋体"/>
          <w:b/>
          <w:color w:val="auto"/>
          <w:sz w:val="21"/>
          <w:szCs w:val="21"/>
          <w:highlight w:val="none"/>
        </w:rPr>
      </w:pPr>
      <w:r>
        <w:rPr>
          <w:rFonts w:hint="eastAsia" w:ascii="宋体" w:hAnsi="宋体" w:eastAsia="宋体" w:cs="宋体"/>
          <w:b/>
          <w:color w:val="auto"/>
          <w:highlight w:val="none"/>
        </w:rPr>
        <w:t xml:space="preserve">                                    </w:t>
      </w:r>
      <w:r>
        <w:rPr>
          <w:rFonts w:hint="eastAsia" w:ascii="宋体" w:hAnsi="宋体" w:eastAsia="宋体" w:cs="宋体"/>
          <w:color w:val="auto"/>
          <w:sz w:val="21"/>
          <w:szCs w:val="21"/>
          <w:highlight w:val="none"/>
        </w:rPr>
        <w:t>合同编号：</w:t>
      </w:r>
    </w:p>
    <w:p>
      <w:pPr>
        <w:spacing w:line="276" w:lineRule="auto"/>
        <w:ind w:right="525"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签订地点：赤峰市医院</w:t>
      </w:r>
      <w:r>
        <w:rPr>
          <w:rFonts w:hint="eastAsia" w:ascii="宋体" w:hAnsi="宋体" w:eastAsia="宋体" w:cs="宋体"/>
          <w:b/>
          <w:color w:val="auto"/>
          <w:highlight w:val="none"/>
        </w:rPr>
        <w:t xml:space="preserve">      </w:t>
      </w:r>
    </w:p>
    <w:p>
      <w:pPr>
        <w:spacing w:line="360" w:lineRule="auto"/>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甲方：赤峰市医院</w:t>
      </w:r>
    </w:p>
    <w:p>
      <w:pPr>
        <w:spacing w:line="360" w:lineRule="auto"/>
        <w:ind w:firstLine="0" w:firstLineChars="0"/>
        <w:rPr>
          <w:rFonts w:hint="eastAsia" w:ascii="宋体" w:hAnsi="宋体" w:eastAsia="宋体" w:cs="宋体"/>
          <w:color w:val="auto"/>
          <w:highlight w:val="none"/>
        </w:rPr>
      </w:pPr>
      <w:r>
        <w:rPr>
          <w:rFonts w:hint="eastAsia" w:ascii="宋体" w:hAnsi="宋体" w:eastAsia="宋体" w:cs="宋体"/>
          <w:b/>
          <w:color w:val="auto"/>
          <w:highlight w:val="none"/>
        </w:rPr>
        <w:t>乙方：</w:t>
      </w:r>
    </w:p>
    <w:p>
      <w:pPr>
        <w:snapToGrid w:val="0"/>
        <w:spacing w:line="360" w:lineRule="auto"/>
        <w:ind w:firstLine="480"/>
        <w:rPr>
          <w:rFonts w:hint="eastAsia" w:ascii="宋体" w:hAnsi="宋体" w:eastAsia="宋体" w:cs="宋体"/>
          <w:b/>
          <w:color w:val="auto"/>
          <w:highlight w:val="none"/>
        </w:rPr>
      </w:pPr>
      <w:r>
        <w:rPr>
          <w:rFonts w:hint="eastAsia" w:ascii="宋体" w:hAnsi="宋体" w:eastAsia="宋体" w:cs="宋体"/>
          <w:color w:val="auto"/>
          <w:highlight w:val="none"/>
        </w:rPr>
        <w:t>根据《中华人民共和国民法典》等相关法律法规，</w:t>
      </w:r>
      <w:bookmarkStart w:id="984" w:name="_Hlk126145160"/>
      <w:r>
        <w:rPr>
          <w:rFonts w:hint="eastAsia" w:ascii="宋体" w:hAnsi="宋体" w:eastAsia="宋体" w:cs="宋体"/>
          <w:color w:val="auto"/>
          <w:highlight w:val="none"/>
        </w:rPr>
        <w:t>按照招投标文件或院内采购会议规定条</w:t>
      </w:r>
      <w:bookmarkEnd w:id="984"/>
      <w:r>
        <w:rPr>
          <w:rFonts w:hint="eastAsia" w:ascii="宋体" w:hAnsi="宋体" w:eastAsia="宋体" w:cs="宋体"/>
          <w:color w:val="auto"/>
          <w:highlight w:val="none"/>
        </w:rPr>
        <w:t>款和中标供应商承诺，甲乙双方签订本合同。</w:t>
      </w:r>
    </w:p>
    <w:p>
      <w:pPr>
        <w:snapToGrid w:val="0"/>
        <w:spacing w:line="360" w:lineRule="auto"/>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第一条　合同标的</w:t>
      </w:r>
    </w:p>
    <w:tbl>
      <w:tblPr>
        <w:tblStyle w:val="28"/>
        <w:tblpPr w:leftFromText="180" w:rightFromText="180" w:vertAnchor="text" w:horzAnchor="page" w:tblpX="1282" w:tblpY="172"/>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433"/>
        <w:gridCol w:w="676"/>
        <w:gridCol w:w="772"/>
        <w:gridCol w:w="2092"/>
        <w:gridCol w:w="1767"/>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8" w:type="pct"/>
            <w:vAlign w:val="center"/>
          </w:tcPr>
          <w:p>
            <w:pPr>
              <w:snapToGrid w:val="0"/>
              <w:spacing w:line="240" w:lineRule="auto"/>
              <w:ind w:firstLine="0" w:firstLineChars="0"/>
              <w:jc w:val="center"/>
              <w:rPr>
                <w:rFonts w:hint="eastAsia" w:ascii="宋体" w:hAnsi="宋体" w:eastAsia="宋体" w:cs="宋体"/>
                <w:b/>
                <w:snapToGrid w:val="0"/>
                <w:color w:val="auto"/>
                <w:sz w:val="21"/>
                <w:szCs w:val="21"/>
                <w:highlight w:val="none"/>
              </w:rPr>
            </w:pPr>
            <w:r>
              <w:rPr>
                <w:rFonts w:hint="eastAsia" w:ascii="宋体" w:hAnsi="宋体" w:eastAsia="宋体" w:cs="宋体"/>
                <w:b/>
                <w:snapToGrid w:val="0"/>
                <w:color w:val="auto"/>
                <w:sz w:val="21"/>
                <w:szCs w:val="21"/>
                <w:highlight w:val="none"/>
              </w:rPr>
              <w:t>序号</w:t>
            </w:r>
          </w:p>
        </w:tc>
        <w:tc>
          <w:tcPr>
            <w:tcW w:w="772" w:type="pct"/>
            <w:vAlign w:val="center"/>
          </w:tcPr>
          <w:p>
            <w:pPr>
              <w:snapToGrid w:val="0"/>
              <w:spacing w:line="240" w:lineRule="auto"/>
              <w:ind w:firstLine="0" w:firstLineChars="0"/>
              <w:jc w:val="center"/>
              <w:rPr>
                <w:rFonts w:hint="eastAsia" w:ascii="宋体" w:hAnsi="宋体" w:eastAsia="宋体" w:cs="宋体"/>
                <w:b/>
                <w:snapToGrid w:val="0"/>
                <w:color w:val="auto"/>
                <w:sz w:val="21"/>
                <w:szCs w:val="21"/>
                <w:highlight w:val="none"/>
              </w:rPr>
            </w:pPr>
            <w:r>
              <w:rPr>
                <w:rFonts w:hint="eastAsia" w:ascii="宋体" w:hAnsi="宋体" w:eastAsia="宋体" w:cs="宋体"/>
                <w:b/>
                <w:snapToGrid w:val="0"/>
                <w:color w:val="auto"/>
                <w:sz w:val="21"/>
                <w:szCs w:val="21"/>
                <w:highlight w:val="none"/>
              </w:rPr>
              <w:t>项目名称</w:t>
            </w:r>
          </w:p>
        </w:tc>
        <w:tc>
          <w:tcPr>
            <w:tcW w:w="364" w:type="pct"/>
            <w:vAlign w:val="center"/>
          </w:tcPr>
          <w:p>
            <w:pPr>
              <w:snapToGrid w:val="0"/>
              <w:spacing w:line="240" w:lineRule="auto"/>
              <w:ind w:firstLine="0" w:firstLineChars="0"/>
              <w:jc w:val="center"/>
              <w:rPr>
                <w:rFonts w:hint="eastAsia" w:ascii="宋体" w:hAnsi="宋体" w:eastAsia="宋体" w:cs="宋体"/>
                <w:b/>
                <w:snapToGrid w:val="0"/>
                <w:color w:val="auto"/>
                <w:sz w:val="21"/>
                <w:szCs w:val="21"/>
                <w:highlight w:val="none"/>
              </w:rPr>
            </w:pPr>
          </w:p>
          <w:p>
            <w:pPr>
              <w:snapToGrid w:val="0"/>
              <w:spacing w:line="240" w:lineRule="auto"/>
              <w:ind w:firstLine="0" w:firstLineChars="0"/>
              <w:jc w:val="center"/>
              <w:rPr>
                <w:rFonts w:hint="eastAsia" w:ascii="宋体" w:hAnsi="宋体" w:eastAsia="宋体" w:cs="宋体"/>
                <w:b/>
                <w:snapToGrid w:val="0"/>
                <w:color w:val="auto"/>
                <w:sz w:val="21"/>
                <w:szCs w:val="21"/>
                <w:highlight w:val="none"/>
              </w:rPr>
            </w:pPr>
            <w:r>
              <w:rPr>
                <w:rFonts w:hint="eastAsia" w:ascii="宋体" w:hAnsi="宋体" w:eastAsia="宋体" w:cs="宋体"/>
                <w:b/>
                <w:snapToGrid w:val="0"/>
                <w:color w:val="auto"/>
                <w:sz w:val="21"/>
                <w:szCs w:val="21"/>
                <w:highlight w:val="none"/>
              </w:rPr>
              <w:t>数量</w:t>
            </w:r>
          </w:p>
          <w:p>
            <w:pPr>
              <w:snapToGrid w:val="0"/>
              <w:spacing w:line="240" w:lineRule="auto"/>
              <w:ind w:firstLine="0" w:firstLineChars="0"/>
              <w:jc w:val="center"/>
              <w:rPr>
                <w:rFonts w:hint="eastAsia" w:ascii="宋体" w:hAnsi="宋体" w:eastAsia="宋体" w:cs="宋体"/>
                <w:b/>
                <w:snapToGrid w:val="0"/>
                <w:color w:val="auto"/>
                <w:sz w:val="21"/>
                <w:szCs w:val="21"/>
                <w:highlight w:val="none"/>
              </w:rPr>
            </w:pPr>
          </w:p>
        </w:tc>
        <w:tc>
          <w:tcPr>
            <w:tcW w:w="416" w:type="pct"/>
            <w:vAlign w:val="center"/>
          </w:tcPr>
          <w:p>
            <w:pPr>
              <w:snapToGrid w:val="0"/>
              <w:spacing w:line="240" w:lineRule="auto"/>
              <w:ind w:firstLine="0" w:firstLineChars="0"/>
              <w:jc w:val="center"/>
              <w:rPr>
                <w:rFonts w:hint="eastAsia" w:ascii="宋体" w:hAnsi="宋体" w:eastAsia="宋体" w:cs="宋体"/>
                <w:b/>
                <w:snapToGrid w:val="0"/>
                <w:color w:val="auto"/>
                <w:sz w:val="21"/>
                <w:szCs w:val="21"/>
                <w:highlight w:val="none"/>
              </w:rPr>
            </w:pPr>
            <w:r>
              <w:rPr>
                <w:rFonts w:hint="eastAsia" w:ascii="宋体" w:hAnsi="宋体" w:eastAsia="宋体" w:cs="宋体"/>
                <w:b/>
                <w:snapToGrid w:val="0"/>
                <w:color w:val="auto"/>
                <w:sz w:val="21"/>
                <w:szCs w:val="21"/>
                <w:highlight w:val="none"/>
              </w:rPr>
              <w:t>单位</w:t>
            </w:r>
          </w:p>
        </w:tc>
        <w:tc>
          <w:tcPr>
            <w:tcW w:w="1127" w:type="pct"/>
            <w:vAlign w:val="center"/>
          </w:tcPr>
          <w:p>
            <w:pPr>
              <w:snapToGrid w:val="0"/>
              <w:spacing w:line="240" w:lineRule="auto"/>
              <w:ind w:firstLine="0" w:firstLineChars="0"/>
              <w:jc w:val="center"/>
              <w:rPr>
                <w:rFonts w:hint="eastAsia" w:ascii="宋体" w:hAnsi="宋体" w:eastAsia="宋体" w:cs="宋体"/>
                <w:b/>
                <w:snapToGrid w:val="0"/>
                <w:color w:val="auto"/>
                <w:sz w:val="21"/>
                <w:szCs w:val="21"/>
                <w:highlight w:val="none"/>
              </w:rPr>
            </w:pPr>
            <w:r>
              <w:rPr>
                <w:rFonts w:hint="eastAsia" w:ascii="宋体" w:hAnsi="宋体" w:eastAsia="宋体" w:cs="宋体"/>
                <w:b/>
                <w:snapToGrid w:val="0"/>
                <w:color w:val="auto"/>
                <w:sz w:val="21"/>
                <w:szCs w:val="21"/>
                <w:highlight w:val="none"/>
              </w:rPr>
              <w:t>单价（含税）</w:t>
            </w:r>
          </w:p>
          <w:p>
            <w:pPr>
              <w:snapToGrid w:val="0"/>
              <w:spacing w:line="240" w:lineRule="auto"/>
              <w:ind w:firstLine="0" w:firstLineChars="0"/>
              <w:jc w:val="center"/>
              <w:rPr>
                <w:rFonts w:hint="eastAsia" w:ascii="宋体" w:hAnsi="宋体" w:eastAsia="宋体" w:cs="宋体"/>
                <w:b/>
                <w:snapToGrid w:val="0"/>
                <w:color w:val="auto"/>
                <w:sz w:val="21"/>
                <w:szCs w:val="21"/>
                <w:highlight w:val="none"/>
              </w:rPr>
            </w:pPr>
            <w:r>
              <w:rPr>
                <w:rFonts w:hint="eastAsia" w:ascii="宋体" w:hAnsi="宋体" w:eastAsia="宋体" w:cs="宋体"/>
                <w:b/>
                <w:color w:val="auto"/>
                <w:sz w:val="21"/>
                <w:szCs w:val="21"/>
                <w:highlight w:val="none"/>
              </w:rPr>
              <w:t>单位：</w:t>
            </w:r>
            <w:r>
              <w:rPr>
                <w:rFonts w:hint="eastAsia" w:ascii="宋体" w:hAnsi="宋体" w:eastAsia="宋体" w:cs="宋体"/>
                <w:b/>
                <w:snapToGrid w:val="0"/>
                <w:color w:val="auto"/>
                <w:sz w:val="21"/>
                <w:szCs w:val="21"/>
                <w:highlight w:val="none"/>
              </w:rPr>
              <w:t>元</w:t>
            </w:r>
          </w:p>
        </w:tc>
        <w:tc>
          <w:tcPr>
            <w:tcW w:w="952" w:type="pct"/>
            <w:vAlign w:val="center"/>
          </w:tcPr>
          <w:p>
            <w:pPr>
              <w:snapToGrid w:val="0"/>
              <w:spacing w:line="240" w:lineRule="auto"/>
              <w:ind w:firstLine="0" w:firstLineChars="0"/>
              <w:jc w:val="center"/>
              <w:rPr>
                <w:rFonts w:hint="eastAsia" w:ascii="宋体" w:hAnsi="宋体" w:eastAsia="宋体" w:cs="宋体"/>
                <w:b/>
                <w:snapToGrid w:val="0"/>
                <w:color w:val="auto"/>
                <w:sz w:val="21"/>
                <w:szCs w:val="21"/>
                <w:highlight w:val="none"/>
              </w:rPr>
            </w:pPr>
            <w:r>
              <w:rPr>
                <w:rFonts w:hint="eastAsia" w:ascii="宋体" w:hAnsi="宋体" w:eastAsia="宋体" w:cs="宋体"/>
                <w:b/>
                <w:snapToGrid w:val="0"/>
                <w:color w:val="auto"/>
                <w:sz w:val="21"/>
                <w:szCs w:val="21"/>
                <w:highlight w:val="none"/>
              </w:rPr>
              <w:t>总价（含税）</w:t>
            </w:r>
          </w:p>
          <w:p>
            <w:pPr>
              <w:snapToGrid w:val="0"/>
              <w:spacing w:line="240" w:lineRule="auto"/>
              <w:ind w:firstLine="0" w:firstLineChars="0"/>
              <w:jc w:val="center"/>
              <w:rPr>
                <w:rFonts w:hint="eastAsia" w:ascii="宋体" w:hAnsi="宋体" w:eastAsia="宋体" w:cs="宋体"/>
                <w:b/>
                <w:snapToGrid w:val="0"/>
                <w:color w:val="auto"/>
                <w:sz w:val="21"/>
                <w:szCs w:val="21"/>
                <w:highlight w:val="none"/>
              </w:rPr>
            </w:pPr>
            <w:r>
              <w:rPr>
                <w:rFonts w:hint="eastAsia" w:ascii="宋体" w:hAnsi="宋体" w:eastAsia="宋体" w:cs="宋体"/>
                <w:b/>
                <w:color w:val="auto"/>
                <w:sz w:val="21"/>
                <w:szCs w:val="21"/>
                <w:highlight w:val="none"/>
              </w:rPr>
              <w:t>单位：</w:t>
            </w:r>
            <w:r>
              <w:rPr>
                <w:rFonts w:hint="eastAsia" w:ascii="宋体" w:hAnsi="宋体" w:eastAsia="宋体" w:cs="宋体"/>
                <w:b/>
                <w:snapToGrid w:val="0"/>
                <w:color w:val="auto"/>
                <w:sz w:val="21"/>
                <w:szCs w:val="21"/>
                <w:highlight w:val="none"/>
              </w:rPr>
              <w:t>元</w:t>
            </w:r>
          </w:p>
        </w:tc>
        <w:tc>
          <w:tcPr>
            <w:tcW w:w="987" w:type="pct"/>
            <w:vAlign w:val="center"/>
          </w:tcPr>
          <w:p>
            <w:pPr>
              <w:snapToGrid w:val="0"/>
              <w:spacing w:line="240" w:lineRule="auto"/>
              <w:ind w:firstLine="0" w:firstLineChars="0"/>
              <w:jc w:val="center"/>
              <w:rPr>
                <w:rFonts w:hint="eastAsia" w:ascii="宋体" w:hAnsi="宋体" w:eastAsia="宋体" w:cs="宋体"/>
                <w:b/>
                <w:snapToGrid w:val="0"/>
                <w:color w:val="auto"/>
                <w:sz w:val="21"/>
                <w:szCs w:val="21"/>
                <w:highlight w:val="none"/>
              </w:rPr>
            </w:pPr>
            <w:r>
              <w:rPr>
                <w:rFonts w:hint="eastAsia" w:ascii="宋体" w:hAnsi="宋体" w:eastAsia="宋体" w:cs="宋体"/>
                <w:b/>
                <w:snapToGrid w:val="0"/>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8" w:type="pct"/>
            <w:vAlign w:val="center"/>
          </w:tcPr>
          <w:p>
            <w:pPr>
              <w:snapToGrid w:val="0"/>
              <w:spacing w:line="240" w:lineRule="auto"/>
              <w:ind w:firstLine="0" w:firstLineChars="0"/>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w:t>
            </w:r>
          </w:p>
        </w:tc>
        <w:tc>
          <w:tcPr>
            <w:tcW w:w="772" w:type="pct"/>
            <w:vAlign w:val="center"/>
          </w:tcPr>
          <w:p>
            <w:pPr>
              <w:snapToGrid w:val="0"/>
              <w:spacing w:line="240" w:lineRule="auto"/>
              <w:ind w:firstLine="0" w:firstLineChars="0"/>
              <w:jc w:val="center"/>
              <w:rPr>
                <w:rFonts w:hint="eastAsia" w:ascii="宋体" w:hAnsi="宋体" w:eastAsia="宋体" w:cs="宋体"/>
                <w:snapToGrid w:val="0"/>
                <w:color w:val="auto"/>
                <w:sz w:val="21"/>
                <w:szCs w:val="21"/>
                <w:highlight w:val="none"/>
              </w:rPr>
            </w:pPr>
          </w:p>
        </w:tc>
        <w:tc>
          <w:tcPr>
            <w:tcW w:w="364" w:type="pct"/>
            <w:vAlign w:val="center"/>
          </w:tcPr>
          <w:p>
            <w:pPr>
              <w:snapToGrid w:val="0"/>
              <w:spacing w:line="240" w:lineRule="auto"/>
              <w:ind w:firstLine="0" w:firstLineChars="0"/>
              <w:rPr>
                <w:rFonts w:hint="eastAsia" w:ascii="宋体" w:hAnsi="宋体" w:eastAsia="宋体" w:cs="宋体"/>
                <w:snapToGrid w:val="0"/>
                <w:color w:val="auto"/>
                <w:sz w:val="21"/>
                <w:szCs w:val="21"/>
                <w:highlight w:val="none"/>
              </w:rPr>
            </w:pPr>
          </w:p>
        </w:tc>
        <w:tc>
          <w:tcPr>
            <w:tcW w:w="416" w:type="pct"/>
            <w:vAlign w:val="center"/>
          </w:tcPr>
          <w:p>
            <w:pPr>
              <w:snapToGrid w:val="0"/>
              <w:spacing w:line="240" w:lineRule="auto"/>
              <w:ind w:firstLine="420"/>
              <w:jc w:val="center"/>
              <w:rPr>
                <w:rFonts w:hint="eastAsia" w:ascii="宋体" w:hAnsi="宋体" w:eastAsia="宋体" w:cs="宋体"/>
                <w:snapToGrid w:val="0"/>
                <w:color w:val="auto"/>
                <w:sz w:val="21"/>
                <w:szCs w:val="21"/>
                <w:highlight w:val="none"/>
              </w:rPr>
            </w:pPr>
          </w:p>
        </w:tc>
        <w:tc>
          <w:tcPr>
            <w:tcW w:w="1127" w:type="pct"/>
          </w:tcPr>
          <w:p>
            <w:pPr>
              <w:snapToGrid w:val="0"/>
              <w:spacing w:line="240" w:lineRule="auto"/>
              <w:ind w:firstLine="420"/>
              <w:jc w:val="center"/>
              <w:rPr>
                <w:rFonts w:hint="eastAsia" w:ascii="宋体" w:hAnsi="宋体" w:eastAsia="宋体" w:cs="宋体"/>
                <w:snapToGrid w:val="0"/>
                <w:color w:val="auto"/>
                <w:sz w:val="21"/>
                <w:szCs w:val="21"/>
                <w:highlight w:val="none"/>
              </w:rPr>
            </w:pPr>
          </w:p>
        </w:tc>
        <w:tc>
          <w:tcPr>
            <w:tcW w:w="952" w:type="pct"/>
            <w:vAlign w:val="center"/>
          </w:tcPr>
          <w:p>
            <w:pPr>
              <w:snapToGrid w:val="0"/>
              <w:spacing w:line="240" w:lineRule="auto"/>
              <w:ind w:firstLine="420"/>
              <w:jc w:val="center"/>
              <w:rPr>
                <w:rFonts w:hint="eastAsia" w:ascii="宋体" w:hAnsi="宋体" w:eastAsia="宋体" w:cs="宋体"/>
                <w:snapToGrid w:val="0"/>
                <w:color w:val="auto"/>
                <w:sz w:val="21"/>
                <w:szCs w:val="21"/>
                <w:highlight w:val="none"/>
              </w:rPr>
            </w:pPr>
          </w:p>
        </w:tc>
        <w:tc>
          <w:tcPr>
            <w:tcW w:w="987" w:type="pct"/>
            <w:vAlign w:val="center"/>
          </w:tcPr>
          <w:p>
            <w:pPr>
              <w:snapToGrid w:val="0"/>
              <w:spacing w:line="240" w:lineRule="auto"/>
              <w:ind w:firstLine="420"/>
              <w:jc w:val="center"/>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8" w:type="pct"/>
            <w:vAlign w:val="center"/>
          </w:tcPr>
          <w:p>
            <w:pPr>
              <w:snapToGrid w:val="0"/>
              <w:spacing w:line="240" w:lineRule="auto"/>
              <w:ind w:firstLine="0" w:firstLineChars="0"/>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w:t>
            </w:r>
          </w:p>
        </w:tc>
        <w:tc>
          <w:tcPr>
            <w:tcW w:w="772" w:type="pct"/>
            <w:vAlign w:val="center"/>
          </w:tcPr>
          <w:p>
            <w:pPr>
              <w:snapToGrid w:val="0"/>
              <w:spacing w:line="240" w:lineRule="auto"/>
              <w:ind w:firstLine="0" w:firstLineChars="0"/>
              <w:jc w:val="center"/>
              <w:rPr>
                <w:rFonts w:hint="eastAsia" w:ascii="宋体" w:hAnsi="宋体" w:eastAsia="宋体" w:cs="宋体"/>
                <w:snapToGrid w:val="0"/>
                <w:color w:val="auto"/>
                <w:sz w:val="21"/>
                <w:szCs w:val="21"/>
                <w:highlight w:val="none"/>
              </w:rPr>
            </w:pPr>
          </w:p>
        </w:tc>
        <w:tc>
          <w:tcPr>
            <w:tcW w:w="364" w:type="pct"/>
            <w:vAlign w:val="center"/>
          </w:tcPr>
          <w:p>
            <w:pPr>
              <w:snapToGrid w:val="0"/>
              <w:spacing w:line="240" w:lineRule="auto"/>
              <w:ind w:firstLine="0" w:firstLineChars="0"/>
              <w:rPr>
                <w:rFonts w:hint="eastAsia" w:ascii="宋体" w:hAnsi="宋体" w:eastAsia="宋体" w:cs="宋体"/>
                <w:snapToGrid w:val="0"/>
                <w:color w:val="auto"/>
                <w:sz w:val="21"/>
                <w:szCs w:val="21"/>
                <w:highlight w:val="none"/>
              </w:rPr>
            </w:pPr>
          </w:p>
        </w:tc>
        <w:tc>
          <w:tcPr>
            <w:tcW w:w="416" w:type="pct"/>
            <w:vAlign w:val="center"/>
          </w:tcPr>
          <w:p>
            <w:pPr>
              <w:snapToGrid w:val="0"/>
              <w:spacing w:line="240" w:lineRule="auto"/>
              <w:ind w:firstLine="420"/>
              <w:jc w:val="center"/>
              <w:rPr>
                <w:rFonts w:hint="eastAsia" w:ascii="宋体" w:hAnsi="宋体" w:eastAsia="宋体" w:cs="宋体"/>
                <w:snapToGrid w:val="0"/>
                <w:color w:val="auto"/>
                <w:sz w:val="21"/>
                <w:szCs w:val="21"/>
                <w:highlight w:val="none"/>
              </w:rPr>
            </w:pPr>
          </w:p>
        </w:tc>
        <w:tc>
          <w:tcPr>
            <w:tcW w:w="1127" w:type="pct"/>
          </w:tcPr>
          <w:p>
            <w:pPr>
              <w:snapToGrid w:val="0"/>
              <w:spacing w:line="240" w:lineRule="auto"/>
              <w:ind w:firstLine="420"/>
              <w:jc w:val="center"/>
              <w:rPr>
                <w:rFonts w:hint="eastAsia" w:ascii="宋体" w:hAnsi="宋体" w:eastAsia="宋体" w:cs="宋体"/>
                <w:snapToGrid w:val="0"/>
                <w:color w:val="auto"/>
                <w:sz w:val="21"/>
                <w:szCs w:val="21"/>
                <w:highlight w:val="none"/>
              </w:rPr>
            </w:pPr>
          </w:p>
        </w:tc>
        <w:tc>
          <w:tcPr>
            <w:tcW w:w="952" w:type="pct"/>
            <w:vAlign w:val="center"/>
          </w:tcPr>
          <w:p>
            <w:pPr>
              <w:snapToGrid w:val="0"/>
              <w:spacing w:line="240" w:lineRule="auto"/>
              <w:ind w:firstLine="420"/>
              <w:jc w:val="center"/>
              <w:rPr>
                <w:rFonts w:hint="eastAsia" w:ascii="宋体" w:hAnsi="宋体" w:eastAsia="宋体" w:cs="宋体"/>
                <w:snapToGrid w:val="0"/>
                <w:color w:val="auto"/>
                <w:sz w:val="21"/>
                <w:szCs w:val="21"/>
                <w:highlight w:val="none"/>
              </w:rPr>
            </w:pPr>
          </w:p>
        </w:tc>
        <w:tc>
          <w:tcPr>
            <w:tcW w:w="987" w:type="pct"/>
            <w:vAlign w:val="center"/>
          </w:tcPr>
          <w:p>
            <w:pPr>
              <w:snapToGrid w:val="0"/>
              <w:spacing w:line="240" w:lineRule="auto"/>
              <w:ind w:firstLine="420"/>
              <w:jc w:val="center"/>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8" w:type="pct"/>
            <w:vAlign w:val="center"/>
          </w:tcPr>
          <w:p>
            <w:pPr>
              <w:snapToGrid w:val="0"/>
              <w:spacing w:line="240" w:lineRule="auto"/>
              <w:ind w:firstLine="0" w:firstLineChars="0"/>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3</w:t>
            </w:r>
          </w:p>
        </w:tc>
        <w:tc>
          <w:tcPr>
            <w:tcW w:w="772" w:type="pct"/>
            <w:vAlign w:val="center"/>
          </w:tcPr>
          <w:p>
            <w:pPr>
              <w:snapToGrid w:val="0"/>
              <w:spacing w:line="240" w:lineRule="auto"/>
              <w:ind w:firstLine="0" w:firstLineChars="0"/>
              <w:jc w:val="center"/>
              <w:rPr>
                <w:rFonts w:hint="eastAsia" w:ascii="宋体" w:hAnsi="宋体" w:eastAsia="宋体" w:cs="宋体"/>
                <w:snapToGrid w:val="0"/>
                <w:color w:val="auto"/>
                <w:sz w:val="21"/>
                <w:szCs w:val="21"/>
                <w:highlight w:val="none"/>
              </w:rPr>
            </w:pPr>
          </w:p>
        </w:tc>
        <w:tc>
          <w:tcPr>
            <w:tcW w:w="364" w:type="pct"/>
            <w:vAlign w:val="center"/>
          </w:tcPr>
          <w:p>
            <w:pPr>
              <w:snapToGrid w:val="0"/>
              <w:spacing w:line="240" w:lineRule="auto"/>
              <w:ind w:firstLine="0" w:firstLineChars="0"/>
              <w:rPr>
                <w:rFonts w:hint="eastAsia" w:ascii="宋体" w:hAnsi="宋体" w:eastAsia="宋体" w:cs="宋体"/>
                <w:snapToGrid w:val="0"/>
                <w:color w:val="auto"/>
                <w:sz w:val="21"/>
                <w:szCs w:val="21"/>
                <w:highlight w:val="none"/>
              </w:rPr>
            </w:pPr>
          </w:p>
        </w:tc>
        <w:tc>
          <w:tcPr>
            <w:tcW w:w="416" w:type="pct"/>
            <w:vAlign w:val="center"/>
          </w:tcPr>
          <w:p>
            <w:pPr>
              <w:snapToGrid w:val="0"/>
              <w:spacing w:line="240" w:lineRule="auto"/>
              <w:ind w:firstLine="420"/>
              <w:jc w:val="center"/>
              <w:rPr>
                <w:rFonts w:hint="eastAsia" w:ascii="宋体" w:hAnsi="宋体" w:eastAsia="宋体" w:cs="宋体"/>
                <w:snapToGrid w:val="0"/>
                <w:color w:val="auto"/>
                <w:sz w:val="21"/>
                <w:szCs w:val="21"/>
                <w:highlight w:val="none"/>
              </w:rPr>
            </w:pPr>
          </w:p>
        </w:tc>
        <w:tc>
          <w:tcPr>
            <w:tcW w:w="1127" w:type="pct"/>
          </w:tcPr>
          <w:p>
            <w:pPr>
              <w:snapToGrid w:val="0"/>
              <w:spacing w:line="240" w:lineRule="auto"/>
              <w:ind w:firstLine="420"/>
              <w:jc w:val="center"/>
              <w:rPr>
                <w:rFonts w:hint="eastAsia" w:ascii="宋体" w:hAnsi="宋体" w:eastAsia="宋体" w:cs="宋体"/>
                <w:snapToGrid w:val="0"/>
                <w:color w:val="auto"/>
                <w:sz w:val="21"/>
                <w:szCs w:val="21"/>
                <w:highlight w:val="none"/>
              </w:rPr>
            </w:pPr>
          </w:p>
        </w:tc>
        <w:tc>
          <w:tcPr>
            <w:tcW w:w="952" w:type="pct"/>
            <w:vAlign w:val="center"/>
          </w:tcPr>
          <w:p>
            <w:pPr>
              <w:snapToGrid w:val="0"/>
              <w:spacing w:line="240" w:lineRule="auto"/>
              <w:ind w:firstLine="420"/>
              <w:jc w:val="center"/>
              <w:rPr>
                <w:rFonts w:hint="eastAsia" w:ascii="宋体" w:hAnsi="宋体" w:eastAsia="宋体" w:cs="宋体"/>
                <w:snapToGrid w:val="0"/>
                <w:color w:val="auto"/>
                <w:sz w:val="21"/>
                <w:szCs w:val="21"/>
                <w:highlight w:val="none"/>
              </w:rPr>
            </w:pPr>
          </w:p>
        </w:tc>
        <w:tc>
          <w:tcPr>
            <w:tcW w:w="987" w:type="pct"/>
            <w:vAlign w:val="center"/>
          </w:tcPr>
          <w:p>
            <w:pPr>
              <w:snapToGrid w:val="0"/>
              <w:spacing w:line="240" w:lineRule="auto"/>
              <w:ind w:firstLine="420"/>
              <w:jc w:val="center"/>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7"/>
            <w:vAlign w:val="center"/>
          </w:tcPr>
          <w:p>
            <w:pPr>
              <w:spacing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   (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7"/>
            <w:vAlign w:val="center"/>
          </w:tcPr>
          <w:p>
            <w:pPr>
              <w:spacing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甲方不另付任何费用（服务具体内容及要求见招投标文件）</w:t>
            </w:r>
          </w:p>
        </w:tc>
      </w:tr>
    </w:tbl>
    <w:p>
      <w:pPr>
        <w:snapToGrid w:val="0"/>
        <w:spacing w:line="240" w:lineRule="auto"/>
        <w:ind w:firstLine="0" w:firstLineChars="0"/>
        <w:rPr>
          <w:rFonts w:hint="eastAsia" w:ascii="宋体" w:hAnsi="宋体" w:eastAsia="宋体" w:cs="宋体"/>
          <w:color w:val="auto"/>
          <w:highlight w:val="none"/>
        </w:rPr>
      </w:pPr>
    </w:p>
    <w:p>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1.附件一：合同附加条款</w:t>
      </w:r>
    </w:p>
    <w:p>
      <w:pPr>
        <w:snapToGrid w:val="0"/>
        <w:spacing w:line="360" w:lineRule="auto"/>
        <w:ind w:right="420" w:firstLine="480"/>
        <w:rPr>
          <w:rFonts w:hint="eastAsia" w:ascii="宋体" w:hAnsi="宋体" w:eastAsia="宋体" w:cs="宋体"/>
          <w:color w:val="auto"/>
          <w:highlight w:val="none"/>
        </w:rPr>
      </w:pPr>
      <w:r>
        <w:rPr>
          <w:rFonts w:hint="eastAsia" w:ascii="宋体" w:hAnsi="宋体" w:eastAsia="宋体" w:cs="宋体"/>
          <w:color w:val="auto"/>
          <w:highlight w:val="none"/>
        </w:rPr>
        <w:t>2.合同合计金额包括服务过程、技术培训及技术资料，如乙方所提供的服务涉及货物，应包含货物包装、运输等全部费用。如招投标文件对其另有规定的，从其规定。</w:t>
      </w:r>
    </w:p>
    <w:p>
      <w:pPr>
        <w:snapToGrid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b/>
          <w:color w:val="auto"/>
          <w:highlight w:val="none"/>
        </w:rPr>
        <w:t>第二条　质量保证</w:t>
      </w:r>
    </w:p>
    <w:p>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1.乙方所提供的服务质量与标准必须与招投标文件和承诺相一致。</w:t>
      </w:r>
    </w:p>
    <w:p>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2.乙方所提供服务如涉及货物，必须是全新、未使用的原装产品（属于医疗器械产品的须提供医疗器械注册证等相关文件），且在正常安装、使用和保养条件下，其使用寿命期内各项指标均达到质量要求。</w:t>
      </w:r>
    </w:p>
    <w:p>
      <w:pPr>
        <w:snapToGrid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b/>
          <w:color w:val="auto"/>
          <w:highlight w:val="none"/>
        </w:rPr>
        <w:t>第三条　权利保证</w:t>
      </w:r>
    </w:p>
    <w:p>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乙方应保证所提供服务在使用时不会侵犯任何第三方的专利权、商标权、工业设计权或其他权利。</w:t>
      </w:r>
    </w:p>
    <w:p>
      <w:pPr>
        <w:numPr>
          <w:ilvl w:val="0"/>
          <w:numId w:val="4"/>
        </w:numPr>
        <w:snapToGrid w:val="0"/>
        <w:spacing w:line="360" w:lineRule="auto"/>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交付和评价考核</w:t>
      </w:r>
    </w:p>
    <w:p>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1.评价考核：</w:t>
      </w:r>
      <w:r>
        <w:rPr>
          <w:rFonts w:hint="eastAsia" w:ascii="宋体" w:hAnsi="宋体" w:eastAsia="宋体" w:cs="宋体"/>
          <w:color w:val="auto"/>
          <w:highlight w:val="none"/>
          <w:u w:val="single"/>
        </w:rPr>
        <w:t xml:space="preserve">见附件“服务考核标准”                                   </w:t>
      </w:r>
      <w:r>
        <w:rPr>
          <w:rFonts w:hint="eastAsia" w:ascii="宋体" w:hAnsi="宋体" w:eastAsia="宋体" w:cs="宋体"/>
          <w:color w:val="auto"/>
          <w:highlight w:val="none"/>
        </w:rPr>
        <w:t xml:space="preserve">   </w:t>
      </w:r>
    </w:p>
    <w:p>
      <w:pPr>
        <w:snapToGrid w:val="0"/>
        <w:spacing w:line="360" w:lineRule="auto"/>
        <w:ind w:firstLine="480"/>
        <w:rPr>
          <w:rFonts w:hint="eastAsia" w:ascii="宋体" w:hAnsi="宋体" w:eastAsia="宋体" w:cs="宋体"/>
          <w:b/>
          <w:bCs/>
          <w:color w:val="auto"/>
          <w:highlight w:val="none"/>
        </w:rPr>
      </w:pPr>
      <w:r>
        <w:rPr>
          <w:rFonts w:hint="eastAsia" w:ascii="宋体" w:hAnsi="宋体" w:eastAsia="宋体" w:cs="宋体"/>
          <w:color w:val="auto"/>
          <w:highlight w:val="none"/>
        </w:rPr>
        <w:t>2.乙方提供不符合招投标文件和本合同规定的服务，甲方有权拒绝接受。</w:t>
      </w:r>
      <w:r>
        <w:rPr>
          <w:rFonts w:hint="eastAsia" w:ascii="宋体" w:hAnsi="宋体" w:eastAsia="宋体" w:cs="宋体"/>
          <w:b/>
          <w:bCs/>
          <w:color w:val="auto"/>
          <w:highlight w:val="none"/>
        </w:rPr>
        <w:t xml:space="preserve">            </w:t>
      </w:r>
    </w:p>
    <w:p>
      <w:pPr>
        <w:numPr>
          <w:ilvl w:val="0"/>
          <w:numId w:val="4"/>
        </w:numPr>
        <w:snapToGrid w:val="0"/>
        <w:spacing w:line="360" w:lineRule="auto"/>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 xml:space="preserve"> 服务期限及承诺</w:t>
      </w:r>
    </w:p>
    <w:p>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服务期限：</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个月</w:t>
      </w:r>
    </w:p>
    <w:p>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服务承诺：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snapToGrid w:val="0"/>
        <w:spacing w:line="360" w:lineRule="auto"/>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第六条　服务和培训</w:t>
      </w:r>
    </w:p>
    <w:p>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1.甲方应提供必要的服务条件（如场地、电源、水源等）。</w:t>
      </w:r>
    </w:p>
    <w:p>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2.乙方负责甲方有关人员的培训，具体培训时间、地点由甲方制定。</w:t>
      </w:r>
    </w:p>
    <w:p>
      <w:pPr>
        <w:snapToGrid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b/>
          <w:color w:val="auto"/>
          <w:highlight w:val="none"/>
        </w:rPr>
        <w:t>第七条　付款方式</w:t>
      </w:r>
    </w:p>
    <w:p>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服务完成后乙方出具发票，甲方收到发票后</w:t>
      </w:r>
      <w:r>
        <w:rPr>
          <w:rFonts w:hint="eastAsia" w:ascii="宋体" w:hAnsi="宋体" w:eastAsia="宋体" w:cs="宋体"/>
          <w:b/>
          <w:bCs/>
          <w:color w:val="auto"/>
          <w:highlight w:val="none"/>
          <w:u w:val="single"/>
        </w:rPr>
        <w:t>2个月内付款</w:t>
      </w:r>
      <w:r>
        <w:rPr>
          <w:rFonts w:hint="eastAsia" w:ascii="宋体" w:hAnsi="宋体" w:eastAsia="宋体" w:cs="宋体"/>
          <w:color w:val="auto"/>
          <w:highlight w:val="none"/>
        </w:rPr>
        <w:t>（招标文件另有约定的从其规定）。</w:t>
      </w:r>
    </w:p>
    <w:p>
      <w:pPr>
        <w:snapToGrid w:val="0"/>
        <w:spacing w:line="360" w:lineRule="auto"/>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第八条　合同的变更、终止与转让</w:t>
      </w:r>
    </w:p>
    <w:p>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1.本合同一经签订，甲乙双方不得擅自变更、中止或终止。</w:t>
      </w:r>
    </w:p>
    <w:p>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2.乙方不得擅自转让（无进口资格的供应商委托进口货物除外）其应履行的合同义务。</w:t>
      </w:r>
    </w:p>
    <w:p>
      <w:pPr>
        <w:snapToGrid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b/>
          <w:color w:val="auto"/>
          <w:highlight w:val="none"/>
        </w:rPr>
        <w:t>第九条　违约责任</w:t>
      </w:r>
    </w:p>
    <w:p>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1.乙方所提供的服务质量不合格的，按逾期交</w:t>
      </w:r>
      <w:r>
        <w:rPr>
          <w:rFonts w:hint="eastAsia" w:ascii="宋体" w:hAnsi="宋体" w:eastAsia="宋体" w:cs="宋体"/>
          <w:color w:val="auto"/>
          <w:highlight w:val="none"/>
          <w:lang w:val="en-US" w:eastAsia="zh-CN"/>
        </w:rPr>
        <w:t>付</w:t>
      </w:r>
      <w:r>
        <w:rPr>
          <w:rFonts w:hint="eastAsia" w:ascii="宋体" w:hAnsi="宋体" w:eastAsia="宋体" w:cs="宋体"/>
          <w:color w:val="auto"/>
          <w:highlight w:val="none"/>
        </w:rPr>
        <w:t>处罚（招标文件另有约定的从其规定）。</w:t>
      </w:r>
    </w:p>
    <w:p>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2.乙方提供的服务如侵犯了第三方合法权益而引发的任何纠纷或诉讼，均由乙方负责交涉解决，并承担相应法律责任。</w:t>
      </w:r>
    </w:p>
    <w:p>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3.因包装、运输引起的服务所需物品损坏，由乙方负责更换。</w:t>
      </w:r>
    </w:p>
    <w:p>
      <w:pPr>
        <w:snapToGrid w:val="0"/>
        <w:spacing w:line="360" w:lineRule="auto"/>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4.乙方逾期交</w:t>
      </w:r>
      <w:r>
        <w:rPr>
          <w:rFonts w:hint="eastAsia" w:ascii="宋体" w:hAnsi="宋体" w:eastAsia="宋体" w:cs="宋体"/>
          <w:color w:val="auto"/>
          <w:highlight w:val="none"/>
          <w:lang w:val="en-US" w:eastAsia="zh-CN"/>
        </w:rPr>
        <w:t>付</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每逾期一日，向甲方支付合同金额3‰的违约金，违约金不足以弥补甲方实际损失的，乙方应赔偿因此给甲方造成的实际损失。逾期超过30天的，甲方有权解除本合同，同时不向乙方支付服务费用且乙方赔偿甲方合同金额20%违约金。</w:t>
      </w:r>
    </w:p>
    <w:p>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5.甲乙双方任何一方由于不可抗力原因不能履行合同时，应及时向对方通报不能履行的理由，以减轻可能给对方造成的损失，否则赔偿由此造成的经济损失。</w:t>
      </w:r>
    </w:p>
    <w:p>
      <w:pPr>
        <w:snapToGrid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b/>
          <w:color w:val="auto"/>
          <w:highlight w:val="none"/>
        </w:rPr>
        <w:t>第十条  合同争议解决</w:t>
      </w:r>
    </w:p>
    <w:p>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1.因服务所涉及货物质量问题发生争议的，应邀请国家认可的质量检测机构对货物质量进行鉴定。货物符合标准的，鉴定费由甲方承担；货物不符合标准的，鉴定费由乙方承担。</w:t>
      </w:r>
    </w:p>
    <w:p>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2.因履行本合同引起的或与本合同有关的争议，甲乙双方应首先通过友好协商解决，如果协商不能解决，向甲方所在地人民法院提起诉讼。</w:t>
      </w:r>
    </w:p>
    <w:p>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3.诉讼期间，本合同继续履行。</w:t>
      </w:r>
    </w:p>
    <w:p>
      <w:pPr>
        <w:snapToGrid w:val="0"/>
        <w:spacing w:line="360" w:lineRule="auto"/>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第十一条　签订本合同依据</w:t>
      </w:r>
    </w:p>
    <w:p>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1.招标文件；</w:t>
      </w:r>
    </w:p>
    <w:p>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2.乙方提供的投标文件；</w:t>
      </w:r>
    </w:p>
    <w:p>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3.中标或成交通知书；</w:t>
      </w:r>
    </w:p>
    <w:p>
      <w:pPr>
        <w:snapToGrid w:val="0"/>
        <w:spacing w:line="360" w:lineRule="auto"/>
        <w:ind w:firstLine="0" w:firstLineChars="0"/>
        <w:rPr>
          <w:rFonts w:hint="eastAsia" w:ascii="宋体" w:hAnsi="宋体" w:eastAsia="宋体" w:cs="宋体"/>
          <w:color w:val="auto"/>
          <w:highlight w:val="none"/>
        </w:rPr>
      </w:pPr>
      <w:r>
        <w:rPr>
          <w:rFonts w:hint="eastAsia" w:ascii="宋体" w:hAnsi="宋体" w:eastAsia="宋体" w:cs="宋体"/>
          <w:b/>
          <w:color w:val="auto"/>
          <w:highlight w:val="none"/>
        </w:rPr>
        <w:t>第十二条　</w:t>
      </w:r>
      <w:r>
        <w:rPr>
          <w:rFonts w:hint="eastAsia" w:ascii="宋体" w:hAnsi="宋体" w:eastAsia="宋体" w:cs="宋体"/>
          <w:color w:val="auto"/>
          <w:highlight w:val="none"/>
        </w:rPr>
        <w:t>本合同一式三份，甲方执两份，乙方执一份（可根据需要另增加）。经甲、乙双方授权代表签字并加盖公章后生效。</w:t>
      </w:r>
    </w:p>
    <w:p>
      <w:pPr>
        <w:snapToGrid w:val="0"/>
        <w:spacing w:line="360" w:lineRule="auto"/>
        <w:ind w:firstLine="482"/>
        <w:rPr>
          <w:rFonts w:hint="eastAsia" w:ascii="宋体" w:hAnsi="宋体" w:eastAsia="宋体" w:cs="宋体"/>
          <w:b/>
          <w:bCs/>
          <w:color w:val="auto"/>
          <w:highlight w:val="none"/>
        </w:rPr>
      </w:pPr>
      <w:r>
        <w:rPr>
          <w:rFonts w:hint="eastAsia" w:ascii="宋体" w:hAnsi="宋体" w:eastAsia="宋体" w:cs="宋体"/>
          <w:b/>
          <w:bCs/>
          <w:color w:val="auto"/>
          <w:highlight w:val="none"/>
        </w:rPr>
        <w:t>（以下无正文）</w:t>
      </w:r>
    </w:p>
    <w:tbl>
      <w:tblPr>
        <w:tblStyle w:val="29"/>
        <w:tblpPr w:leftFromText="180" w:rightFromText="180" w:vertAnchor="text" w:horzAnchor="page" w:tblpX="1174" w:tblpY="425"/>
        <w:tblOverlap w:val="neve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0"/>
        <w:gridCol w:w="43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3" w:hRule="atLeast"/>
        </w:trPr>
        <w:tc>
          <w:tcPr>
            <w:tcW w:w="2671" w:type="pct"/>
          </w:tcPr>
          <w:p>
            <w:pPr>
              <w:spacing w:line="360" w:lineRule="auto"/>
              <w:ind w:firstLine="0" w:firstLineChars="0"/>
              <w:jc w:val="left"/>
              <w:rPr>
                <w:rFonts w:hint="eastAsia" w:ascii="宋体" w:hAnsi="宋体" w:eastAsia="宋体" w:cs="宋体"/>
                <w:bCs/>
                <w:color w:val="auto"/>
                <w:highlight w:val="none"/>
              </w:rPr>
            </w:pPr>
            <w:r>
              <w:rPr>
                <w:rFonts w:hint="eastAsia" w:ascii="宋体" w:hAnsi="宋体" w:eastAsia="宋体" w:cs="宋体"/>
                <w:bCs/>
                <w:color w:val="auto"/>
                <w:highlight w:val="none"/>
              </w:rPr>
              <w:t>甲方（盖章）：赤峰市医院</w:t>
            </w:r>
          </w:p>
          <w:p>
            <w:pPr>
              <w:spacing w:line="360" w:lineRule="auto"/>
              <w:ind w:firstLine="0" w:firstLineChars="0"/>
              <w:jc w:val="left"/>
              <w:rPr>
                <w:rFonts w:hint="eastAsia" w:ascii="宋体" w:hAnsi="宋体" w:eastAsia="宋体" w:cs="宋体"/>
                <w:bCs/>
                <w:color w:val="auto"/>
                <w:highlight w:val="none"/>
              </w:rPr>
            </w:pPr>
            <w:r>
              <w:rPr>
                <w:rFonts w:hint="eastAsia" w:ascii="宋体" w:hAnsi="宋体" w:eastAsia="宋体" w:cs="宋体"/>
                <w:bCs/>
                <w:color w:val="auto"/>
                <w:highlight w:val="none"/>
              </w:rPr>
              <w:t>法定代表人：张析哲</w:t>
            </w:r>
          </w:p>
          <w:p>
            <w:pPr>
              <w:spacing w:line="360" w:lineRule="auto"/>
              <w:ind w:firstLine="0" w:firstLineChars="0"/>
              <w:jc w:val="left"/>
              <w:rPr>
                <w:rFonts w:hint="eastAsia" w:ascii="宋体" w:hAnsi="宋体" w:eastAsia="宋体" w:cs="宋体"/>
                <w:bCs/>
                <w:color w:val="auto"/>
                <w:highlight w:val="none"/>
              </w:rPr>
            </w:pPr>
            <w:r>
              <w:rPr>
                <w:rFonts w:hint="eastAsia" w:ascii="宋体" w:hAnsi="宋体" w:eastAsia="宋体" w:cs="宋体"/>
                <w:bCs/>
                <w:color w:val="auto"/>
                <w:highlight w:val="none"/>
              </w:rPr>
              <w:t>法人或授权代表签名：</w:t>
            </w:r>
          </w:p>
          <w:p>
            <w:pPr>
              <w:spacing w:line="360" w:lineRule="auto"/>
              <w:ind w:firstLine="0" w:firstLineChars="0"/>
              <w:jc w:val="left"/>
              <w:rPr>
                <w:rFonts w:hint="eastAsia" w:ascii="宋体" w:hAnsi="宋体" w:eastAsia="宋体" w:cs="宋体"/>
                <w:bCs/>
                <w:color w:val="auto"/>
                <w:highlight w:val="none"/>
              </w:rPr>
            </w:pPr>
          </w:p>
          <w:p>
            <w:pPr>
              <w:spacing w:line="360" w:lineRule="auto"/>
              <w:ind w:firstLine="0" w:firstLineChars="0"/>
              <w:jc w:val="left"/>
              <w:rPr>
                <w:rFonts w:hint="eastAsia" w:ascii="宋体" w:hAnsi="宋体" w:eastAsia="宋体" w:cs="宋体"/>
                <w:bCs/>
                <w:color w:val="auto"/>
                <w:highlight w:val="none"/>
              </w:rPr>
            </w:pPr>
            <w:r>
              <w:rPr>
                <w:rFonts w:hint="eastAsia" w:ascii="宋体" w:hAnsi="宋体" w:eastAsia="宋体" w:cs="宋体"/>
                <w:bCs/>
                <w:color w:val="auto"/>
                <w:highlight w:val="none"/>
              </w:rPr>
              <w:t>日期：    年   月  日</w:t>
            </w:r>
          </w:p>
          <w:p>
            <w:pPr>
              <w:spacing w:line="360" w:lineRule="auto"/>
              <w:ind w:firstLine="0" w:firstLineChars="0"/>
              <w:jc w:val="left"/>
              <w:rPr>
                <w:rFonts w:hint="eastAsia" w:ascii="宋体" w:hAnsi="宋体" w:eastAsia="宋体" w:cs="宋体"/>
                <w:bCs/>
                <w:color w:val="auto"/>
                <w:highlight w:val="none"/>
              </w:rPr>
            </w:pPr>
          </w:p>
        </w:tc>
        <w:tc>
          <w:tcPr>
            <w:tcW w:w="2328" w:type="pct"/>
          </w:tcPr>
          <w:p>
            <w:pPr>
              <w:spacing w:line="360" w:lineRule="auto"/>
              <w:ind w:firstLine="0" w:firstLineChars="0"/>
              <w:rPr>
                <w:rFonts w:hint="eastAsia" w:ascii="宋体" w:hAnsi="宋体" w:eastAsia="宋体" w:cs="宋体"/>
                <w:color w:val="auto"/>
                <w:kern w:val="0"/>
                <w:highlight w:val="none"/>
              </w:rPr>
            </w:pPr>
            <w:r>
              <w:rPr>
                <w:rFonts w:hint="eastAsia" w:ascii="宋体" w:hAnsi="宋体" w:eastAsia="宋体" w:cs="宋体"/>
                <w:bCs/>
                <w:color w:val="auto"/>
                <w:highlight w:val="none"/>
              </w:rPr>
              <w:t>乙方（盖章）</w:t>
            </w:r>
            <w:r>
              <w:rPr>
                <w:rFonts w:hint="eastAsia" w:ascii="宋体" w:hAnsi="宋体" w:eastAsia="宋体" w:cs="宋体"/>
                <w:color w:val="auto"/>
                <w:kern w:val="0"/>
                <w:highlight w:val="none"/>
              </w:rPr>
              <w:t>：</w:t>
            </w:r>
          </w:p>
          <w:p>
            <w:pPr>
              <w:spacing w:line="360" w:lineRule="auto"/>
              <w:ind w:firstLine="0" w:firstLineChars="0"/>
              <w:jc w:val="left"/>
              <w:rPr>
                <w:rFonts w:hint="eastAsia" w:ascii="宋体" w:hAnsi="宋体" w:eastAsia="宋体" w:cs="宋体"/>
                <w:bCs/>
                <w:color w:val="auto"/>
                <w:highlight w:val="none"/>
              </w:rPr>
            </w:pPr>
            <w:r>
              <w:rPr>
                <w:rFonts w:hint="eastAsia" w:ascii="宋体" w:hAnsi="宋体" w:eastAsia="宋体" w:cs="宋体"/>
                <w:bCs/>
                <w:color w:val="auto"/>
                <w:highlight w:val="none"/>
              </w:rPr>
              <w:t>法定代表人：</w:t>
            </w:r>
          </w:p>
          <w:p>
            <w:pPr>
              <w:spacing w:line="360" w:lineRule="auto"/>
              <w:ind w:firstLine="0" w:firstLineChars="0"/>
              <w:jc w:val="left"/>
              <w:rPr>
                <w:rFonts w:hint="eastAsia" w:ascii="宋体" w:hAnsi="宋体" w:eastAsia="宋体" w:cs="宋体"/>
                <w:bCs/>
                <w:color w:val="auto"/>
                <w:highlight w:val="none"/>
              </w:rPr>
            </w:pPr>
            <w:r>
              <w:rPr>
                <w:rFonts w:hint="eastAsia" w:ascii="宋体" w:hAnsi="宋体" w:eastAsia="宋体" w:cs="宋体"/>
                <w:bCs/>
                <w:color w:val="auto"/>
                <w:highlight w:val="none"/>
              </w:rPr>
              <w:t>法人或授权代表签名：</w:t>
            </w:r>
          </w:p>
          <w:p>
            <w:pPr>
              <w:spacing w:line="360" w:lineRule="auto"/>
              <w:ind w:firstLine="0" w:firstLineChars="0"/>
              <w:jc w:val="left"/>
              <w:rPr>
                <w:rFonts w:hint="eastAsia" w:ascii="宋体" w:hAnsi="宋体" w:eastAsia="宋体" w:cs="宋体"/>
                <w:bCs/>
                <w:color w:val="auto"/>
                <w:highlight w:val="none"/>
              </w:rPr>
            </w:pPr>
          </w:p>
          <w:p>
            <w:pPr>
              <w:spacing w:line="360" w:lineRule="auto"/>
              <w:ind w:firstLine="0" w:firstLineChars="0"/>
              <w:jc w:val="left"/>
              <w:rPr>
                <w:rFonts w:hint="eastAsia" w:ascii="宋体" w:hAnsi="宋体" w:eastAsia="宋体" w:cs="宋体"/>
                <w:bCs/>
                <w:color w:val="auto"/>
                <w:highlight w:val="none"/>
              </w:rPr>
            </w:pPr>
            <w:r>
              <w:rPr>
                <w:rFonts w:hint="eastAsia" w:ascii="宋体" w:hAnsi="宋体" w:eastAsia="宋体" w:cs="宋体"/>
                <w:bCs/>
                <w:color w:val="auto"/>
                <w:highlight w:val="none"/>
              </w:rPr>
              <w:t>日期：    年   月  日</w:t>
            </w:r>
          </w:p>
          <w:p>
            <w:pPr>
              <w:spacing w:line="360" w:lineRule="auto"/>
              <w:ind w:firstLine="0" w:firstLineChars="0"/>
              <w:jc w:val="left"/>
              <w:rPr>
                <w:rFonts w:hint="eastAsia" w:ascii="宋体" w:hAnsi="宋体" w:eastAsia="宋体" w:cs="宋体"/>
                <w:bCs/>
                <w:color w:val="auto"/>
                <w:highlight w:val="none"/>
              </w:rPr>
            </w:pPr>
            <w:r>
              <w:rPr>
                <w:rFonts w:hint="eastAsia" w:ascii="宋体" w:hAnsi="宋体" w:eastAsia="宋体" w:cs="宋体"/>
                <w:bCs/>
                <w:color w:val="auto"/>
                <w:highlight w:val="none"/>
              </w:rPr>
              <w:t>公司地址：</w:t>
            </w:r>
          </w:p>
          <w:p>
            <w:pPr>
              <w:spacing w:line="360" w:lineRule="auto"/>
              <w:ind w:firstLine="0" w:firstLineChars="0"/>
              <w:jc w:val="left"/>
              <w:rPr>
                <w:rFonts w:hint="eastAsia" w:ascii="宋体" w:hAnsi="宋体" w:eastAsia="宋体" w:cs="宋体"/>
                <w:bCs/>
                <w:color w:val="auto"/>
                <w:highlight w:val="none"/>
              </w:rPr>
            </w:pPr>
            <w:r>
              <w:rPr>
                <w:rFonts w:hint="eastAsia" w:ascii="宋体" w:hAnsi="宋体" w:eastAsia="宋体" w:cs="宋体"/>
                <w:bCs/>
                <w:color w:val="auto"/>
                <w:highlight w:val="none"/>
              </w:rPr>
              <w:t>联系电话：</w:t>
            </w:r>
          </w:p>
        </w:tc>
      </w:tr>
    </w:tbl>
    <w:p>
      <w:pPr>
        <w:snapToGrid w:val="0"/>
        <w:spacing w:line="360" w:lineRule="auto"/>
        <w:ind w:firstLine="480"/>
        <w:rPr>
          <w:rFonts w:hint="eastAsia" w:ascii="宋体" w:hAnsi="宋体" w:eastAsia="宋体" w:cs="宋体"/>
          <w:color w:val="auto"/>
          <w:highlight w:val="none"/>
        </w:rPr>
      </w:pPr>
    </w:p>
    <w:p>
      <w:pPr>
        <w:snapToGrid w:val="0"/>
        <w:spacing w:line="360" w:lineRule="auto"/>
        <w:ind w:firstLine="480"/>
        <w:rPr>
          <w:rFonts w:hint="eastAsia" w:ascii="宋体" w:hAnsi="宋体" w:eastAsia="宋体" w:cs="宋体"/>
          <w:color w:val="auto"/>
          <w:highlight w:val="none"/>
        </w:rPr>
      </w:pPr>
    </w:p>
    <w:p>
      <w:pPr>
        <w:snapToGrid w:val="0"/>
        <w:spacing w:line="360" w:lineRule="auto"/>
        <w:ind w:firstLine="482"/>
        <w:rPr>
          <w:rFonts w:hint="eastAsia" w:ascii="宋体" w:hAnsi="宋体" w:eastAsia="宋体" w:cs="宋体"/>
          <w:b/>
          <w:bCs/>
          <w:color w:val="auto"/>
          <w:highlight w:val="none"/>
        </w:rPr>
      </w:pPr>
    </w:p>
    <w:p>
      <w:pPr>
        <w:tabs>
          <w:tab w:val="center" w:pos="1255"/>
          <w:tab w:val="center" w:pos="1975"/>
          <w:tab w:val="center" w:pos="4375"/>
          <w:tab w:val="center" w:pos="5215"/>
          <w:tab w:val="center" w:pos="5935"/>
        </w:tabs>
        <w:ind w:firstLine="240" w:firstLineChars="100"/>
        <w:rPr>
          <w:rFonts w:hint="eastAsia" w:ascii="宋体" w:hAnsi="宋体" w:eastAsia="宋体" w:cs="宋体"/>
          <w:color w:val="auto"/>
          <w:sz w:val="24"/>
          <w:szCs w:val="24"/>
          <w:highlight w:val="none"/>
        </w:rPr>
      </w:pPr>
    </w:p>
    <w:p>
      <w:pPr>
        <w:tabs>
          <w:tab w:val="left" w:pos="1080"/>
        </w:tabs>
        <w:spacing w:line="400" w:lineRule="exact"/>
        <w:rPr>
          <w:rFonts w:hint="eastAsia" w:ascii="宋体" w:hAnsi="宋体" w:eastAsia="宋体" w:cs="宋体"/>
          <w:color w:val="auto"/>
          <w:sz w:val="24"/>
          <w:highlight w:val="none"/>
        </w:rPr>
      </w:pPr>
    </w:p>
    <w:p>
      <w:pPr>
        <w:pStyle w:val="4"/>
        <w:pageBreakBefore/>
        <w:tabs>
          <w:tab w:val="left" w:pos="0"/>
        </w:tabs>
        <w:spacing w:before="120" w:line="360" w:lineRule="auto"/>
        <w:jc w:val="center"/>
        <w:textAlignment w:val="baseline"/>
        <w:rPr>
          <w:rFonts w:hint="eastAsia" w:ascii="宋体" w:hAnsi="宋体" w:eastAsia="宋体" w:cs="宋体"/>
          <w:color w:val="auto"/>
          <w:kern w:val="0"/>
          <w:sz w:val="36"/>
          <w:highlight w:val="none"/>
        </w:rPr>
      </w:pPr>
      <w:bookmarkStart w:id="985" w:name="_Toc3430"/>
      <w:bookmarkStart w:id="986" w:name="_Toc13293"/>
      <w:bookmarkStart w:id="987" w:name="_Toc30848"/>
      <w:bookmarkStart w:id="988" w:name="_Toc15704"/>
      <w:bookmarkStart w:id="989" w:name="_Toc28540"/>
      <w:bookmarkStart w:id="990" w:name="_Toc16145"/>
      <w:r>
        <w:rPr>
          <w:rFonts w:hint="eastAsia" w:ascii="宋体" w:hAnsi="宋体" w:eastAsia="宋体" w:cs="宋体"/>
          <w:color w:val="auto"/>
          <w:kern w:val="0"/>
          <w:sz w:val="36"/>
          <w:highlight w:val="none"/>
        </w:rPr>
        <w:t>第五章 采购需求</w:t>
      </w:r>
      <w:bookmarkEnd w:id="985"/>
      <w:bookmarkEnd w:id="986"/>
      <w:bookmarkEnd w:id="987"/>
      <w:bookmarkEnd w:id="988"/>
      <w:bookmarkEnd w:id="989"/>
      <w:bookmarkEnd w:id="990"/>
      <w:bookmarkStart w:id="991" w:name="_Toc244767868"/>
      <w:bookmarkStart w:id="992" w:name="_Toc175649124"/>
      <w:bookmarkStart w:id="993" w:name="_Toc179619650"/>
      <w:bookmarkStart w:id="994" w:name="_Toc171350597"/>
      <w:bookmarkStart w:id="995" w:name="_Toc167604776"/>
      <w:bookmarkStart w:id="996" w:name="_Toc244784033"/>
      <w:bookmarkStart w:id="997" w:name="_Toc259779943"/>
      <w:bookmarkStart w:id="998" w:name="_Toc171347821"/>
      <w:bookmarkStart w:id="999" w:name="_Toc171351491"/>
      <w:bookmarkStart w:id="1000" w:name="_Toc456272466"/>
      <w:bookmarkStart w:id="1001" w:name="_Toc285721926"/>
      <w:bookmarkStart w:id="1002" w:name="_Toc285548240"/>
    </w:p>
    <w:bookmarkEnd w:id="991"/>
    <w:bookmarkEnd w:id="992"/>
    <w:bookmarkEnd w:id="993"/>
    <w:bookmarkEnd w:id="994"/>
    <w:bookmarkEnd w:id="995"/>
    <w:bookmarkEnd w:id="996"/>
    <w:bookmarkEnd w:id="997"/>
    <w:bookmarkEnd w:id="998"/>
    <w:bookmarkEnd w:id="999"/>
    <w:bookmarkEnd w:id="1000"/>
    <w:bookmarkEnd w:id="1001"/>
    <w:bookmarkEnd w:id="1002"/>
    <w:p>
      <w:pPr>
        <w:pStyle w:val="246"/>
        <w:numPr>
          <w:ilvl w:val="0"/>
          <w:numId w:val="5"/>
        </w:numPr>
        <w:ind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检测设备明细</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3305"/>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jc w:val="center"/>
              <w:rPr>
                <w:color w:val="auto"/>
                <w:sz w:val="28"/>
                <w:szCs w:val="28"/>
                <w:highlight w:val="none"/>
              </w:rPr>
            </w:pPr>
            <w:r>
              <w:rPr>
                <w:rFonts w:hint="eastAsia"/>
                <w:color w:val="auto"/>
                <w:sz w:val="28"/>
                <w:szCs w:val="28"/>
                <w:highlight w:val="none"/>
              </w:rPr>
              <w:t>序号</w:t>
            </w:r>
          </w:p>
        </w:tc>
        <w:tc>
          <w:tcPr>
            <w:tcW w:w="3305" w:type="dxa"/>
          </w:tcPr>
          <w:p>
            <w:pPr>
              <w:jc w:val="center"/>
              <w:rPr>
                <w:color w:val="auto"/>
                <w:sz w:val="28"/>
                <w:szCs w:val="28"/>
                <w:highlight w:val="none"/>
              </w:rPr>
            </w:pPr>
            <w:r>
              <w:rPr>
                <w:rFonts w:hint="eastAsia"/>
                <w:color w:val="auto"/>
                <w:sz w:val="28"/>
                <w:szCs w:val="28"/>
                <w:highlight w:val="none"/>
              </w:rPr>
              <w:t>名称</w:t>
            </w:r>
          </w:p>
        </w:tc>
        <w:tc>
          <w:tcPr>
            <w:tcW w:w="2131" w:type="dxa"/>
          </w:tcPr>
          <w:p>
            <w:pPr>
              <w:jc w:val="center"/>
              <w:rPr>
                <w:color w:val="auto"/>
                <w:sz w:val="28"/>
                <w:szCs w:val="28"/>
                <w:highlight w:val="none"/>
              </w:rPr>
            </w:pPr>
            <w:r>
              <w:rPr>
                <w:rFonts w:hint="eastAsia"/>
                <w:color w:val="auto"/>
                <w:sz w:val="28"/>
                <w:szCs w:val="28"/>
                <w:highlight w:val="none"/>
              </w:rPr>
              <w:t>数量</w:t>
            </w:r>
          </w:p>
        </w:tc>
        <w:tc>
          <w:tcPr>
            <w:tcW w:w="2131" w:type="dxa"/>
          </w:tcPr>
          <w:p>
            <w:pPr>
              <w:jc w:val="center"/>
              <w:rPr>
                <w:color w:val="auto"/>
                <w:sz w:val="28"/>
                <w:szCs w:val="28"/>
                <w:highlight w:val="none"/>
              </w:rPr>
            </w:pPr>
            <w:r>
              <w:rPr>
                <w:rFonts w:hint="eastAsia"/>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jc w:val="center"/>
              <w:rPr>
                <w:color w:val="auto"/>
                <w:sz w:val="24"/>
                <w:szCs w:val="24"/>
                <w:highlight w:val="none"/>
              </w:rPr>
            </w:pPr>
            <w:r>
              <w:rPr>
                <w:rFonts w:hint="eastAsia"/>
                <w:color w:val="auto"/>
                <w:sz w:val="24"/>
                <w:szCs w:val="24"/>
                <w:highlight w:val="none"/>
              </w:rPr>
              <w:t>1</w:t>
            </w:r>
          </w:p>
        </w:tc>
        <w:tc>
          <w:tcPr>
            <w:tcW w:w="3305" w:type="dxa"/>
          </w:tcPr>
          <w:p>
            <w:pPr>
              <w:jc w:val="center"/>
              <w:rPr>
                <w:color w:val="auto"/>
                <w:sz w:val="24"/>
                <w:szCs w:val="24"/>
                <w:highlight w:val="none"/>
              </w:rPr>
            </w:pPr>
            <w:r>
              <w:rPr>
                <w:rFonts w:hint="eastAsia"/>
                <w:color w:val="auto"/>
                <w:sz w:val="24"/>
                <w:szCs w:val="24"/>
                <w:highlight w:val="none"/>
              </w:rPr>
              <w:t>移液器</w:t>
            </w:r>
          </w:p>
        </w:tc>
        <w:tc>
          <w:tcPr>
            <w:tcW w:w="2131" w:type="dxa"/>
          </w:tcPr>
          <w:p>
            <w:pPr>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83</w:t>
            </w:r>
          </w:p>
        </w:tc>
        <w:tc>
          <w:tcPr>
            <w:tcW w:w="2131" w:type="dxa"/>
          </w:tcPr>
          <w:p>
            <w:pPr>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按附表要求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jc w:val="center"/>
              <w:rPr>
                <w:color w:val="auto"/>
                <w:sz w:val="24"/>
                <w:szCs w:val="24"/>
                <w:highlight w:val="none"/>
              </w:rPr>
            </w:pPr>
            <w:r>
              <w:rPr>
                <w:rFonts w:hint="eastAsia"/>
                <w:color w:val="auto"/>
                <w:sz w:val="24"/>
                <w:szCs w:val="24"/>
                <w:highlight w:val="none"/>
              </w:rPr>
              <w:t>2</w:t>
            </w:r>
          </w:p>
        </w:tc>
        <w:tc>
          <w:tcPr>
            <w:tcW w:w="3305" w:type="dxa"/>
          </w:tcPr>
          <w:p>
            <w:pPr>
              <w:jc w:val="center"/>
              <w:rPr>
                <w:color w:val="auto"/>
                <w:sz w:val="24"/>
                <w:szCs w:val="24"/>
                <w:highlight w:val="none"/>
              </w:rPr>
            </w:pPr>
            <w:r>
              <w:rPr>
                <w:color w:val="auto"/>
                <w:sz w:val="24"/>
                <w:szCs w:val="24"/>
                <w:highlight w:val="none"/>
              </w:rPr>
              <w:t>核酸提取仪</w:t>
            </w:r>
          </w:p>
        </w:tc>
        <w:tc>
          <w:tcPr>
            <w:tcW w:w="2131" w:type="dxa"/>
          </w:tcPr>
          <w:p>
            <w:pPr>
              <w:jc w:val="center"/>
              <w:rPr>
                <w:color w:val="auto"/>
                <w:sz w:val="24"/>
                <w:szCs w:val="24"/>
                <w:highlight w:val="none"/>
              </w:rPr>
            </w:pPr>
            <w:r>
              <w:rPr>
                <w:rFonts w:hint="eastAsia"/>
                <w:color w:val="auto"/>
                <w:sz w:val="24"/>
                <w:szCs w:val="24"/>
                <w:highlight w:val="none"/>
              </w:rPr>
              <w:t>5</w:t>
            </w:r>
          </w:p>
        </w:tc>
        <w:tc>
          <w:tcPr>
            <w:tcW w:w="2131" w:type="dxa"/>
          </w:tcPr>
          <w:p>
            <w:pPr>
              <w:jc w:val="center"/>
              <w:rPr>
                <w:color w:val="auto"/>
                <w:sz w:val="24"/>
                <w:szCs w:val="24"/>
                <w:highlight w:val="none"/>
              </w:rPr>
            </w:pPr>
            <w:r>
              <w:rPr>
                <w:rFonts w:hint="eastAsia"/>
                <w:color w:val="auto"/>
                <w:sz w:val="24"/>
                <w:szCs w:val="24"/>
                <w:highlight w:val="none"/>
              </w:rPr>
              <w:t>检测孔温度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jc w:val="center"/>
              <w:rPr>
                <w:color w:val="auto"/>
                <w:sz w:val="24"/>
                <w:szCs w:val="24"/>
                <w:highlight w:val="none"/>
              </w:rPr>
            </w:pPr>
            <w:r>
              <w:rPr>
                <w:rFonts w:hint="eastAsia"/>
                <w:color w:val="auto"/>
                <w:sz w:val="24"/>
                <w:szCs w:val="24"/>
                <w:highlight w:val="none"/>
              </w:rPr>
              <w:t>3</w:t>
            </w:r>
          </w:p>
        </w:tc>
        <w:tc>
          <w:tcPr>
            <w:tcW w:w="3305" w:type="dxa"/>
          </w:tcPr>
          <w:p>
            <w:pPr>
              <w:jc w:val="center"/>
              <w:rPr>
                <w:color w:val="auto"/>
                <w:sz w:val="24"/>
                <w:szCs w:val="24"/>
                <w:highlight w:val="none"/>
              </w:rPr>
            </w:pPr>
            <w:r>
              <w:rPr>
                <w:rFonts w:hint="eastAsia"/>
                <w:color w:val="auto"/>
                <w:sz w:val="24"/>
                <w:szCs w:val="24"/>
                <w:highlight w:val="none"/>
              </w:rPr>
              <w:t>核酸扩增仪</w:t>
            </w:r>
          </w:p>
        </w:tc>
        <w:tc>
          <w:tcPr>
            <w:tcW w:w="2131" w:type="dxa"/>
          </w:tcPr>
          <w:p>
            <w:pPr>
              <w:jc w:val="center"/>
              <w:rPr>
                <w:color w:val="auto"/>
                <w:sz w:val="24"/>
                <w:szCs w:val="24"/>
                <w:highlight w:val="none"/>
              </w:rPr>
            </w:pPr>
            <w:r>
              <w:rPr>
                <w:rFonts w:hint="eastAsia"/>
                <w:color w:val="auto"/>
                <w:sz w:val="24"/>
                <w:szCs w:val="24"/>
                <w:highlight w:val="none"/>
              </w:rPr>
              <w:t>5</w:t>
            </w:r>
          </w:p>
        </w:tc>
        <w:tc>
          <w:tcPr>
            <w:tcW w:w="2131" w:type="dxa"/>
          </w:tcPr>
          <w:p>
            <w:pPr>
              <w:jc w:val="center"/>
              <w:rPr>
                <w:color w:val="auto"/>
                <w:sz w:val="24"/>
                <w:szCs w:val="24"/>
                <w:highlight w:val="none"/>
              </w:rPr>
            </w:pPr>
            <w:r>
              <w:rPr>
                <w:rFonts w:hint="eastAsia"/>
                <w:color w:val="auto"/>
                <w:sz w:val="24"/>
                <w:szCs w:val="24"/>
                <w:highlight w:val="none"/>
              </w:rPr>
              <w:t>检测孔温度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jc w:val="center"/>
              <w:rPr>
                <w:color w:val="auto"/>
                <w:sz w:val="24"/>
                <w:szCs w:val="24"/>
                <w:highlight w:val="none"/>
              </w:rPr>
            </w:pPr>
            <w:r>
              <w:rPr>
                <w:rFonts w:hint="eastAsia"/>
                <w:color w:val="auto"/>
                <w:sz w:val="24"/>
                <w:szCs w:val="24"/>
                <w:highlight w:val="none"/>
              </w:rPr>
              <w:t>4</w:t>
            </w:r>
          </w:p>
        </w:tc>
        <w:tc>
          <w:tcPr>
            <w:tcW w:w="3305" w:type="dxa"/>
            <w:vAlign w:val="center"/>
          </w:tcPr>
          <w:p>
            <w:pPr>
              <w:widowControl/>
              <w:jc w:val="center"/>
              <w:textAlignment w:val="center"/>
              <w:rPr>
                <w:rFonts w:ascii="宋体" w:hAnsi="宋体"/>
                <w:color w:val="auto"/>
                <w:sz w:val="24"/>
                <w:szCs w:val="24"/>
                <w:highlight w:val="none"/>
              </w:rPr>
            </w:pPr>
            <w:r>
              <w:rPr>
                <w:rFonts w:hint="eastAsia"/>
                <w:color w:val="auto"/>
                <w:sz w:val="24"/>
                <w:szCs w:val="24"/>
                <w:highlight w:val="none"/>
              </w:rPr>
              <w:t>温湿度表</w:t>
            </w:r>
          </w:p>
        </w:tc>
        <w:tc>
          <w:tcPr>
            <w:tcW w:w="2131" w:type="dxa"/>
          </w:tcPr>
          <w:p>
            <w:pPr>
              <w:jc w:val="center"/>
              <w:rPr>
                <w:color w:val="auto"/>
                <w:sz w:val="24"/>
                <w:szCs w:val="24"/>
                <w:highlight w:val="none"/>
              </w:rPr>
            </w:pPr>
            <w:r>
              <w:rPr>
                <w:rFonts w:hint="eastAsia"/>
                <w:color w:val="auto"/>
                <w:sz w:val="24"/>
                <w:szCs w:val="24"/>
                <w:highlight w:val="none"/>
              </w:rPr>
              <w:t>26</w:t>
            </w:r>
          </w:p>
        </w:tc>
        <w:tc>
          <w:tcPr>
            <w:tcW w:w="2131" w:type="dxa"/>
          </w:tcPr>
          <w:p>
            <w:pPr>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jc w:val="center"/>
              <w:rPr>
                <w:color w:val="auto"/>
                <w:sz w:val="24"/>
                <w:szCs w:val="24"/>
                <w:highlight w:val="none"/>
              </w:rPr>
            </w:pPr>
            <w:r>
              <w:rPr>
                <w:rFonts w:hint="eastAsia"/>
                <w:color w:val="auto"/>
                <w:sz w:val="24"/>
                <w:szCs w:val="24"/>
                <w:highlight w:val="none"/>
              </w:rPr>
              <w:t>5</w:t>
            </w:r>
          </w:p>
        </w:tc>
        <w:tc>
          <w:tcPr>
            <w:tcW w:w="3305" w:type="dxa"/>
          </w:tcPr>
          <w:p>
            <w:pPr>
              <w:jc w:val="center"/>
              <w:rPr>
                <w:color w:val="auto"/>
                <w:sz w:val="24"/>
                <w:szCs w:val="24"/>
                <w:highlight w:val="none"/>
              </w:rPr>
            </w:pPr>
            <w:r>
              <w:rPr>
                <w:rFonts w:hint="eastAsia"/>
                <w:color w:val="auto"/>
                <w:sz w:val="24"/>
                <w:szCs w:val="24"/>
                <w:highlight w:val="none"/>
              </w:rPr>
              <w:t>分析</w:t>
            </w:r>
            <w:r>
              <w:rPr>
                <w:color w:val="auto"/>
                <w:sz w:val="24"/>
                <w:szCs w:val="24"/>
                <w:highlight w:val="none"/>
              </w:rPr>
              <w:t>天平</w:t>
            </w:r>
          </w:p>
        </w:tc>
        <w:tc>
          <w:tcPr>
            <w:tcW w:w="2131" w:type="dxa"/>
          </w:tcPr>
          <w:p>
            <w:pPr>
              <w:jc w:val="center"/>
              <w:rPr>
                <w:color w:val="auto"/>
                <w:sz w:val="24"/>
                <w:szCs w:val="24"/>
                <w:highlight w:val="none"/>
              </w:rPr>
            </w:pPr>
            <w:r>
              <w:rPr>
                <w:rFonts w:hint="eastAsia"/>
                <w:color w:val="auto"/>
                <w:sz w:val="24"/>
                <w:szCs w:val="24"/>
                <w:highlight w:val="none"/>
              </w:rPr>
              <w:t>1</w:t>
            </w:r>
          </w:p>
        </w:tc>
        <w:tc>
          <w:tcPr>
            <w:tcW w:w="2131" w:type="dxa"/>
          </w:tcPr>
          <w:p>
            <w:pPr>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jc w:val="center"/>
              <w:rPr>
                <w:color w:val="auto"/>
                <w:sz w:val="24"/>
                <w:szCs w:val="24"/>
                <w:highlight w:val="none"/>
              </w:rPr>
            </w:pPr>
            <w:r>
              <w:rPr>
                <w:rFonts w:hint="eastAsia"/>
                <w:color w:val="auto"/>
                <w:sz w:val="24"/>
                <w:szCs w:val="24"/>
                <w:highlight w:val="none"/>
              </w:rPr>
              <w:t>6</w:t>
            </w:r>
          </w:p>
        </w:tc>
        <w:tc>
          <w:tcPr>
            <w:tcW w:w="3305" w:type="dxa"/>
          </w:tcPr>
          <w:p>
            <w:pPr>
              <w:jc w:val="center"/>
              <w:rPr>
                <w:color w:val="auto"/>
                <w:sz w:val="24"/>
                <w:szCs w:val="24"/>
                <w:highlight w:val="none"/>
              </w:rPr>
            </w:pPr>
            <w:r>
              <w:rPr>
                <w:rFonts w:hint="eastAsia"/>
                <w:color w:val="auto"/>
                <w:sz w:val="24"/>
                <w:szCs w:val="24"/>
                <w:highlight w:val="none"/>
              </w:rPr>
              <w:t>游标卡尺</w:t>
            </w:r>
          </w:p>
        </w:tc>
        <w:tc>
          <w:tcPr>
            <w:tcW w:w="2131" w:type="dxa"/>
          </w:tcPr>
          <w:p>
            <w:pPr>
              <w:jc w:val="center"/>
              <w:rPr>
                <w:color w:val="auto"/>
                <w:sz w:val="24"/>
                <w:szCs w:val="24"/>
                <w:highlight w:val="none"/>
              </w:rPr>
            </w:pPr>
            <w:r>
              <w:rPr>
                <w:rFonts w:hint="eastAsia"/>
                <w:color w:val="auto"/>
                <w:sz w:val="24"/>
                <w:szCs w:val="24"/>
                <w:highlight w:val="none"/>
              </w:rPr>
              <w:t>1</w:t>
            </w:r>
          </w:p>
        </w:tc>
        <w:tc>
          <w:tcPr>
            <w:tcW w:w="2131" w:type="dxa"/>
          </w:tcPr>
          <w:p>
            <w:pPr>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5" w:type="dxa"/>
          </w:tcPr>
          <w:p>
            <w:pPr>
              <w:jc w:val="center"/>
              <w:rPr>
                <w:color w:val="auto"/>
                <w:sz w:val="24"/>
                <w:szCs w:val="24"/>
                <w:highlight w:val="none"/>
              </w:rPr>
            </w:pPr>
            <w:r>
              <w:rPr>
                <w:rFonts w:hint="eastAsia"/>
                <w:color w:val="auto"/>
                <w:sz w:val="24"/>
                <w:szCs w:val="24"/>
                <w:highlight w:val="none"/>
              </w:rPr>
              <w:t>7</w:t>
            </w:r>
          </w:p>
        </w:tc>
        <w:tc>
          <w:tcPr>
            <w:tcW w:w="3305" w:type="dxa"/>
          </w:tcPr>
          <w:p>
            <w:pPr>
              <w:jc w:val="center"/>
              <w:rPr>
                <w:color w:val="auto"/>
                <w:sz w:val="24"/>
                <w:szCs w:val="24"/>
                <w:highlight w:val="none"/>
              </w:rPr>
            </w:pPr>
            <w:r>
              <w:rPr>
                <w:rFonts w:hint="eastAsia"/>
                <w:color w:val="auto"/>
                <w:sz w:val="24"/>
                <w:szCs w:val="24"/>
                <w:highlight w:val="none"/>
              </w:rPr>
              <w:t>量筒</w:t>
            </w:r>
          </w:p>
        </w:tc>
        <w:tc>
          <w:tcPr>
            <w:tcW w:w="2131" w:type="dxa"/>
          </w:tcPr>
          <w:p>
            <w:pPr>
              <w:jc w:val="center"/>
              <w:rPr>
                <w:color w:val="auto"/>
                <w:sz w:val="24"/>
                <w:szCs w:val="24"/>
                <w:highlight w:val="none"/>
              </w:rPr>
            </w:pPr>
            <w:r>
              <w:rPr>
                <w:rFonts w:hint="eastAsia"/>
                <w:color w:val="auto"/>
                <w:sz w:val="24"/>
                <w:szCs w:val="24"/>
                <w:highlight w:val="none"/>
              </w:rPr>
              <w:t>6</w:t>
            </w:r>
          </w:p>
        </w:tc>
        <w:tc>
          <w:tcPr>
            <w:tcW w:w="2131" w:type="dxa"/>
          </w:tcPr>
          <w:p>
            <w:pPr>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jc w:val="center"/>
              <w:rPr>
                <w:color w:val="auto"/>
                <w:sz w:val="24"/>
                <w:szCs w:val="24"/>
                <w:highlight w:val="none"/>
              </w:rPr>
            </w:pPr>
            <w:r>
              <w:rPr>
                <w:rFonts w:hint="eastAsia"/>
                <w:color w:val="auto"/>
                <w:sz w:val="24"/>
                <w:szCs w:val="24"/>
                <w:highlight w:val="none"/>
              </w:rPr>
              <w:t>8</w:t>
            </w:r>
          </w:p>
        </w:tc>
        <w:tc>
          <w:tcPr>
            <w:tcW w:w="3305" w:type="dxa"/>
          </w:tcPr>
          <w:p>
            <w:pPr>
              <w:jc w:val="center"/>
              <w:rPr>
                <w:color w:val="auto"/>
                <w:sz w:val="24"/>
                <w:szCs w:val="24"/>
                <w:highlight w:val="none"/>
              </w:rPr>
            </w:pPr>
            <w:r>
              <w:rPr>
                <w:rFonts w:hint="eastAsia"/>
                <w:color w:val="auto"/>
                <w:sz w:val="24"/>
                <w:szCs w:val="24"/>
                <w:highlight w:val="none"/>
              </w:rPr>
              <w:t>吸管</w:t>
            </w:r>
          </w:p>
        </w:tc>
        <w:tc>
          <w:tcPr>
            <w:tcW w:w="2131" w:type="dxa"/>
          </w:tcPr>
          <w:p>
            <w:pPr>
              <w:jc w:val="center"/>
              <w:rPr>
                <w:color w:val="auto"/>
                <w:sz w:val="24"/>
                <w:szCs w:val="24"/>
                <w:highlight w:val="none"/>
              </w:rPr>
            </w:pPr>
            <w:r>
              <w:rPr>
                <w:rFonts w:hint="eastAsia"/>
                <w:color w:val="auto"/>
                <w:sz w:val="24"/>
                <w:szCs w:val="24"/>
                <w:highlight w:val="none"/>
              </w:rPr>
              <w:t>12</w:t>
            </w:r>
          </w:p>
        </w:tc>
        <w:tc>
          <w:tcPr>
            <w:tcW w:w="2131" w:type="dxa"/>
          </w:tcPr>
          <w:p>
            <w:pPr>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jc w:val="center"/>
              <w:rPr>
                <w:color w:val="auto"/>
                <w:sz w:val="24"/>
                <w:szCs w:val="24"/>
                <w:highlight w:val="none"/>
              </w:rPr>
            </w:pPr>
            <w:r>
              <w:rPr>
                <w:rFonts w:hint="eastAsia"/>
                <w:color w:val="auto"/>
                <w:sz w:val="24"/>
                <w:szCs w:val="24"/>
                <w:highlight w:val="none"/>
              </w:rPr>
              <w:t>9</w:t>
            </w:r>
          </w:p>
        </w:tc>
        <w:tc>
          <w:tcPr>
            <w:tcW w:w="3305" w:type="dxa"/>
          </w:tcPr>
          <w:p>
            <w:pPr>
              <w:jc w:val="center"/>
              <w:rPr>
                <w:color w:val="auto"/>
                <w:sz w:val="24"/>
                <w:szCs w:val="24"/>
                <w:highlight w:val="none"/>
              </w:rPr>
            </w:pPr>
            <w:r>
              <w:rPr>
                <w:rFonts w:hint="eastAsia"/>
                <w:color w:val="auto"/>
                <w:sz w:val="24"/>
                <w:szCs w:val="24"/>
                <w:highlight w:val="none"/>
              </w:rPr>
              <w:t>温度计</w:t>
            </w:r>
          </w:p>
        </w:tc>
        <w:tc>
          <w:tcPr>
            <w:tcW w:w="2131" w:type="dxa"/>
          </w:tcPr>
          <w:p>
            <w:pPr>
              <w:jc w:val="center"/>
              <w:rPr>
                <w:color w:val="auto"/>
                <w:sz w:val="24"/>
                <w:szCs w:val="24"/>
                <w:highlight w:val="none"/>
              </w:rPr>
            </w:pPr>
            <w:r>
              <w:rPr>
                <w:rFonts w:hint="eastAsia"/>
                <w:color w:val="auto"/>
                <w:sz w:val="24"/>
                <w:szCs w:val="24"/>
                <w:highlight w:val="none"/>
              </w:rPr>
              <w:t>45</w:t>
            </w:r>
          </w:p>
        </w:tc>
        <w:tc>
          <w:tcPr>
            <w:tcW w:w="2131" w:type="dxa"/>
          </w:tcPr>
          <w:p>
            <w:pPr>
              <w:jc w:val="center"/>
              <w:rPr>
                <w:color w:val="auto"/>
                <w:sz w:val="24"/>
                <w:szCs w:val="24"/>
                <w:highlight w:val="none"/>
              </w:rPr>
            </w:pPr>
            <w:r>
              <w:rPr>
                <w:rFonts w:hint="eastAsia"/>
                <w:color w:val="auto"/>
                <w:sz w:val="24"/>
                <w:szCs w:val="24"/>
                <w:highlight w:val="none"/>
              </w:rPr>
              <w:t>检2个点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jc w:val="center"/>
              <w:rPr>
                <w:color w:val="auto"/>
                <w:sz w:val="24"/>
                <w:szCs w:val="24"/>
                <w:highlight w:val="none"/>
              </w:rPr>
            </w:pPr>
            <w:r>
              <w:rPr>
                <w:rFonts w:hint="eastAsia"/>
                <w:color w:val="auto"/>
                <w:sz w:val="24"/>
                <w:szCs w:val="24"/>
                <w:highlight w:val="none"/>
              </w:rPr>
              <w:t>10</w:t>
            </w:r>
          </w:p>
        </w:tc>
        <w:tc>
          <w:tcPr>
            <w:tcW w:w="3305" w:type="dxa"/>
          </w:tcPr>
          <w:p>
            <w:pPr>
              <w:jc w:val="center"/>
              <w:rPr>
                <w:color w:val="auto"/>
                <w:sz w:val="24"/>
                <w:szCs w:val="24"/>
                <w:highlight w:val="none"/>
              </w:rPr>
            </w:pPr>
            <w:r>
              <w:rPr>
                <w:rFonts w:hint="eastAsia"/>
                <w:color w:val="auto"/>
                <w:sz w:val="24"/>
                <w:szCs w:val="24"/>
                <w:highlight w:val="none"/>
              </w:rPr>
              <w:t>安全柜</w:t>
            </w:r>
          </w:p>
        </w:tc>
        <w:tc>
          <w:tcPr>
            <w:tcW w:w="2131" w:type="dxa"/>
          </w:tcPr>
          <w:p>
            <w:pPr>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10</w:t>
            </w:r>
          </w:p>
        </w:tc>
        <w:tc>
          <w:tcPr>
            <w:tcW w:w="2131" w:type="dxa"/>
          </w:tcPr>
          <w:p>
            <w:pPr>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jc w:val="center"/>
              <w:rPr>
                <w:color w:val="auto"/>
                <w:sz w:val="24"/>
                <w:szCs w:val="24"/>
                <w:highlight w:val="none"/>
              </w:rPr>
            </w:pPr>
            <w:r>
              <w:rPr>
                <w:rFonts w:hint="eastAsia"/>
                <w:color w:val="auto"/>
                <w:sz w:val="24"/>
                <w:szCs w:val="24"/>
                <w:highlight w:val="none"/>
              </w:rPr>
              <w:t>11</w:t>
            </w:r>
          </w:p>
        </w:tc>
        <w:tc>
          <w:tcPr>
            <w:tcW w:w="3305" w:type="dxa"/>
          </w:tcPr>
          <w:p>
            <w:pPr>
              <w:jc w:val="center"/>
              <w:rPr>
                <w:color w:val="auto"/>
                <w:sz w:val="24"/>
                <w:szCs w:val="24"/>
                <w:highlight w:val="none"/>
              </w:rPr>
            </w:pPr>
            <w:r>
              <w:rPr>
                <w:rFonts w:hint="eastAsia"/>
                <w:color w:val="auto"/>
                <w:sz w:val="24"/>
                <w:szCs w:val="24"/>
                <w:highlight w:val="none"/>
              </w:rPr>
              <w:t>超净台</w:t>
            </w:r>
          </w:p>
        </w:tc>
        <w:tc>
          <w:tcPr>
            <w:tcW w:w="2131" w:type="dxa"/>
          </w:tcPr>
          <w:p>
            <w:pPr>
              <w:jc w:val="center"/>
              <w:rPr>
                <w:rFonts w:hint="eastAsia" w:eastAsia="宋体"/>
                <w:color w:val="auto"/>
                <w:sz w:val="24"/>
                <w:szCs w:val="24"/>
                <w:highlight w:val="none"/>
                <w:lang w:eastAsia="zh-CN"/>
              </w:rPr>
            </w:pPr>
            <w:r>
              <w:rPr>
                <w:rFonts w:hint="eastAsia"/>
                <w:color w:val="auto"/>
                <w:sz w:val="24"/>
                <w:szCs w:val="24"/>
                <w:highlight w:val="none"/>
                <w:lang w:val="en-US" w:eastAsia="zh-CN"/>
              </w:rPr>
              <w:t>5</w:t>
            </w:r>
          </w:p>
        </w:tc>
        <w:tc>
          <w:tcPr>
            <w:tcW w:w="2131" w:type="dxa"/>
          </w:tcPr>
          <w:p>
            <w:pPr>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jc w:val="center"/>
              <w:rPr>
                <w:rFonts w:cs="Times New Roman"/>
                <w:color w:val="auto"/>
                <w:sz w:val="24"/>
                <w:szCs w:val="24"/>
                <w:highlight w:val="none"/>
              </w:rPr>
            </w:pPr>
            <w:r>
              <w:rPr>
                <w:rFonts w:hint="eastAsia"/>
                <w:color w:val="auto"/>
                <w:sz w:val="24"/>
                <w:szCs w:val="24"/>
                <w:highlight w:val="none"/>
              </w:rPr>
              <w:t>12</w:t>
            </w:r>
          </w:p>
        </w:tc>
        <w:tc>
          <w:tcPr>
            <w:tcW w:w="3305" w:type="dxa"/>
          </w:tcPr>
          <w:p>
            <w:pPr>
              <w:jc w:val="center"/>
              <w:rPr>
                <w:rFonts w:cs="Times New Roman"/>
                <w:color w:val="auto"/>
                <w:sz w:val="24"/>
                <w:szCs w:val="24"/>
                <w:highlight w:val="none"/>
              </w:rPr>
            </w:pPr>
            <w:r>
              <w:rPr>
                <w:rFonts w:hint="eastAsia"/>
                <w:color w:val="auto"/>
                <w:sz w:val="24"/>
                <w:szCs w:val="24"/>
                <w:highlight w:val="none"/>
              </w:rPr>
              <w:t>医用冰箱</w:t>
            </w:r>
          </w:p>
        </w:tc>
        <w:tc>
          <w:tcPr>
            <w:tcW w:w="2131" w:type="dxa"/>
          </w:tcPr>
          <w:p>
            <w:pPr>
              <w:jc w:val="center"/>
              <w:rPr>
                <w:rFonts w:cs="Times New Roman"/>
                <w:color w:val="auto"/>
                <w:sz w:val="24"/>
                <w:szCs w:val="24"/>
                <w:highlight w:val="none"/>
              </w:rPr>
            </w:pPr>
            <w:r>
              <w:rPr>
                <w:rFonts w:hint="eastAsia"/>
                <w:color w:val="auto"/>
                <w:sz w:val="24"/>
                <w:szCs w:val="24"/>
                <w:highlight w:val="none"/>
              </w:rPr>
              <w:t>45</w:t>
            </w:r>
          </w:p>
        </w:tc>
        <w:tc>
          <w:tcPr>
            <w:tcW w:w="2131" w:type="dxa"/>
          </w:tcPr>
          <w:p>
            <w:pPr>
              <w:jc w:val="center"/>
              <w:rPr>
                <w:rFonts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jc w:val="center"/>
              <w:rPr>
                <w:rFonts w:cs="Times New Roman"/>
                <w:color w:val="auto"/>
                <w:sz w:val="24"/>
                <w:szCs w:val="24"/>
                <w:highlight w:val="none"/>
              </w:rPr>
            </w:pPr>
            <w:r>
              <w:rPr>
                <w:rFonts w:hint="eastAsia"/>
                <w:color w:val="auto"/>
                <w:sz w:val="24"/>
                <w:szCs w:val="24"/>
                <w:highlight w:val="none"/>
              </w:rPr>
              <w:t>13</w:t>
            </w:r>
          </w:p>
        </w:tc>
        <w:tc>
          <w:tcPr>
            <w:tcW w:w="3305" w:type="dxa"/>
          </w:tcPr>
          <w:p>
            <w:pPr>
              <w:jc w:val="center"/>
              <w:rPr>
                <w:rFonts w:cs="Times New Roman"/>
                <w:color w:val="auto"/>
                <w:sz w:val="24"/>
                <w:szCs w:val="24"/>
                <w:highlight w:val="none"/>
              </w:rPr>
            </w:pPr>
            <w:r>
              <w:rPr>
                <w:rFonts w:hint="eastAsia"/>
                <w:color w:val="auto"/>
                <w:sz w:val="24"/>
                <w:szCs w:val="24"/>
                <w:highlight w:val="none"/>
              </w:rPr>
              <w:t>冰冻血浆解冻箱</w:t>
            </w:r>
          </w:p>
        </w:tc>
        <w:tc>
          <w:tcPr>
            <w:tcW w:w="2131" w:type="dxa"/>
          </w:tcPr>
          <w:p>
            <w:pPr>
              <w:jc w:val="center"/>
              <w:rPr>
                <w:rFonts w:cs="Times New Roman"/>
                <w:color w:val="auto"/>
                <w:sz w:val="24"/>
                <w:szCs w:val="24"/>
                <w:highlight w:val="none"/>
              </w:rPr>
            </w:pPr>
            <w:r>
              <w:rPr>
                <w:rFonts w:hint="eastAsia"/>
                <w:color w:val="auto"/>
                <w:sz w:val="24"/>
                <w:szCs w:val="24"/>
                <w:highlight w:val="none"/>
              </w:rPr>
              <w:t>1</w:t>
            </w:r>
          </w:p>
        </w:tc>
        <w:tc>
          <w:tcPr>
            <w:tcW w:w="2131" w:type="dxa"/>
          </w:tcPr>
          <w:p>
            <w:pPr>
              <w:jc w:val="center"/>
              <w:rPr>
                <w:rFonts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jc w:val="center"/>
              <w:rPr>
                <w:rFonts w:cs="Times New Roman"/>
                <w:color w:val="auto"/>
                <w:sz w:val="24"/>
                <w:szCs w:val="24"/>
                <w:highlight w:val="none"/>
              </w:rPr>
            </w:pPr>
            <w:r>
              <w:rPr>
                <w:rFonts w:hint="eastAsia"/>
                <w:color w:val="auto"/>
                <w:sz w:val="24"/>
                <w:szCs w:val="24"/>
                <w:highlight w:val="none"/>
              </w:rPr>
              <w:t>14</w:t>
            </w:r>
          </w:p>
        </w:tc>
        <w:tc>
          <w:tcPr>
            <w:tcW w:w="3305" w:type="dxa"/>
          </w:tcPr>
          <w:p>
            <w:pPr>
              <w:jc w:val="center"/>
              <w:rPr>
                <w:rFonts w:cs="Times New Roman"/>
                <w:color w:val="auto"/>
                <w:sz w:val="24"/>
                <w:szCs w:val="24"/>
                <w:highlight w:val="none"/>
              </w:rPr>
            </w:pPr>
            <w:r>
              <w:rPr>
                <w:rFonts w:hint="eastAsia"/>
                <w:color w:val="auto"/>
                <w:sz w:val="24"/>
                <w:szCs w:val="24"/>
                <w:highlight w:val="none"/>
              </w:rPr>
              <w:t>血小板恒温震荡保存箱</w:t>
            </w:r>
          </w:p>
        </w:tc>
        <w:tc>
          <w:tcPr>
            <w:tcW w:w="2131" w:type="dxa"/>
          </w:tcPr>
          <w:p>
            <w:pPr>
              <w:jc w:val="center"/>
              <w:rPr>
                <w:rFonts w:cs="Times New Roman"/>
                <w:color w:val="auto"/>
                <w:sz w:val="24"/>
                <w:szCs w:val="24"/>
                <w:highlight w:val="none"/>
              </w:rPr>
            </w:pPr>
            <w:r>
              <w:rPr>
                <w:rFonts w:hint="eastAsia"/>
                <w:color w:val="auto"/>
                <w:sz w:val="24"/>
                <w:szCs w:val="24"/>
                <w:highlight w:val="none"/>
              </w:rPr>
              <w:t>1</w:t>
            </w:r>
          </w:p>
        </w:tc>
        <w:tc>
          <w:tcPr>
            <w:tcW w:w="2131" w:type="dxa"/>
          </w:tcPr>
          <w:p>
            <w:pPr>
              <w:jc w:val="center"/>
              <w:rPr>
                <w:rFonts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jc w:val="center"/>
              <w:rPr>
                <w:rFonts w:cs="Times New Roman"/>
                <w:color w:val="auto"/>
                <w:sz w:val="24"/>
                <w:szCs w:val="24"/>
                <w:highlight w:val="none"/>
              </w:rPr>
            </w:pPr>
            <w:r>
              <w:rPr>
                <w:rFonts w:hint="eastAsia"/>
                <w:color w:val="auto"/>
                <w:sz w:val="24"/>
                <w:szCs w:val="24"/>
                <w:highlight w:val="none"/>
              </w:rPr>
              <w:t>15</w:t>
            </w:r>
          </w:p>
        </w:tc>
        <w:tc>
          <w:tcPr>
            <w:tcW w:w="3305" w:type="dxa"/>
          </w:tcPr>
          <w:p>
            <w:pPr>
              <w:jc w:val="center"/>
              <w:rPr>
                <w:rFonts w:cs="Times New Roman"/>
                <w:color w:val="auto"/>
                <w:sz w:val="24"/>
                <w:szCs w:val="24"/>
                <w:highlight w:val="none"/>
              </w:rPr>
            </w:pPr>
            <w:r>
              <w:rPr>
                <w:rFonts w:hint="eastAsia"/>
                <w:color w:val="auto"/>
                <w:sz w:val="24"/>
                <w:szCs w:val="24"/>
                <w:highlight w:val="none"/>
              </w:rPr>
              <w:t>电热灭菌器</w:t>
            </w:r>
          </w:p>
        </w:tc>
        <w:tc>
          <w:tcPr>
            <w:tcW w:w="2131" w:type="dxa"/>
          </w:tcPr>
          <w:p>
            <w:pPr>
              <w:jc w:val="center"/>
              <w:rPr>
                <w:rFonts w:cs="Times New Roman"/>
                <w:color w:val="auto"/>
                <w:sz w:val="24"/>
                <w:szCs w:val="24"/>
                <w:highlight w:val="none"/>
              </w:rPr>
            </w:pPr>
            <w:r>
              <w:rPr>
                <w:rFonts w:hint="eastAsia"/>
                <w:color w:val="auto"/>
                <w:sz w:val="24"/>
                <w:szCs w:val="24"/>
                <w:highlight w:val="none"/>
              </w:rPr>
              <w:t>2</w:t>
            </w:r>
          </w:p>
        </w:tc>
        <w:tc>
          <w:tcPr>
            <w:tcW w:w="2131" w:type="dxa"/>
          </w:tcPr>
          <w:p>
            <w:pPr>
              <w:jc w:val="center"/>
              <w:rPr>
                <w:rFonts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5" w:type="dxa"/>
          </w:tcPr>
          <w:p>
            <w:pPr>
              <w:jc w:val="center"/>
              <w:rPr>
                <w:rFonts w:cs="Times New Roman"/>
                <w:color w:val="auto"/>
                <w:sz w:val="24"/>
                <w:szCs w:val="24"/>
                <w:highlight w:val="none"/>
              </w:rPr>
            </w:pPr>
            <w:r>
              <w:rPr>
                <w:rFonts w:hint="eastAsia"/>
                <w:color w:val="auto"/>
                <w:sz w:val="24"/>
                <w:szCs w:val="24"/>
                <w:highlight w:val="none"/>
              </w:rPr>
              <w:t>16</w:t>
            </w:r>
          </w:p>
        </w:tc>
        <w:tc>
          <w:tcPr>
            <w:tcW w:w="3305" w:type="dxa"/>
          </w:tcPr>
          <w:p>
            <w:pPr>
              <w:jc w:val="center"/>
              <w:rPr>
                <w:rFonts w:cs="Times New Roman"/>
                <w:color w:val="auto"/>
                <w:sz w:val="24"/>
                <w:szCs w:val="24"/>
                <w:highlight w:val="none"/>
              </w:rPr>
            </w:pPr>
            <w:r>
              <w:rPr>
                <w:rFonts w:hint="eastAsia"/>
                <w:color w:val="auto"/>
                <w:sz w:val="24"/>
                <w:szCs w:val="24"/>
                <w:highlight w:val="none"/>
              </w:rPr>
              <w:t>电导率仪</w:t>
            </w:r>
          </w:p>
        </w:tc>
        <w:tc>
          <w:tcPr>
            <w:tcW w:w="2131" w:type="dxa"/>
          </w:tcPr>
          <w:p>
            <w:pPr>
              <w:jc w:val="center"/>
              <w:rPr>
                <w:rFonts w:cs="Times New Roman"/>
                <w:color w:val="auto"/>
                <w:sz w:val="24"/>
                <w:szCs w:val="24"/>
                <w:highlight w:val="none"/>
              </w:rPr>
            </w:pPr>
            <w:r>
              <w:rPr>
                <w:rFonts w:hint="eastAsia"/>
                <w:color w:val="auto"/>
                <w:sz w:val="24"/>
                <w:szCs w:val="24"/>
                <w:highlight w:val="none"/>
              </w:rPr>
              <w:t>1</w:t>
            </w:r>
          </w:p>
        </w:tc>
        <w:tc>
          <w:tcPr>
            <w:tcW w:w="2131" w:type="dxa"/>
          </w:tcPr>
          <w:p>
            <w:pPr>
              <w:jc w:val="center"/>
              <w:rPr>
                <w:rFonts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jc w:val="center"/>
              <w:rPr>
                <w:rFonts w:cs="Times New Roman"/>
                <w:color w:val="auto"/>
                <w:sz w:val="24"/>
                <w:szCs w:val="24"/>
                <w:highlight w:val="none"/>
              </w:rPr>
            </w:pPr>
            <w:r>
              <w:rPr>
                <w:rFonts w:hint="eastAsia"/>
                <w:color w:val="auto"/>
                <w:sz w:val="24"/>
                <w:szCs w:val="24"/>
                <w:highlight w:val="none"/>
              </w:rPr>
              <w:t>17</w:t>
            </w:r>
          </w:p>
        </w:tc>
        <w:tc>
          <w:tcPr>
            <w:tcW w:w="3305" w:type="dxa"/>
          </w:tcPr>
          <w:p>
            <w:pPr>
              <w:jc w:val="center"/>
              <w:rPr>
                <w:rFonts w:cs="Times New Roman"/>
                <w:color w:val="auto"/>
                <w:sz w:val="24"/>
                <w:szCs w:val="24"/>
                <w:highlight w:val="none"/>
              </w:rPr>
            </w:pPr>
            <w:r>
              <w:rPr>
                <w:rFonts w:hint="eastAsia"/>
                <w:color w:val="auto"/>
                <w:sz w:val="24"/>
                <w:szCs w:val="24"/>
                <w:highlight w:val="none"/>
              </w:rPr>
              <w:t>气体减压器</w:t>
            </w:r>
          </w:p>
        </w:tc>
        <w:tc>
          <w:tcPr>
            <w:tcW w:w="2131" w:type="dxa"/>
          </w:tcPr>
          <w:p>
            <w:pPr>
              <w:jc w:val="center"/>
              <w:rPr>
                <w:rFonts w:cs="Times New Roman"/>
                <w:color w:val="auto"/>
                <w:sz w:val="24"/>
                <w:szCs w:val="24"/>
                <w:highlight w:val="none"/>
              </w:rPr>
            </w:pPr>
            <w:r>
              <w:rPr>
                <w:rFonts w:hint="eastAsia"/>
                <w:color w:val="auto"/>
                <w:sz w:val="24"/>
                <w:szCs w:val="24"/>
                <w:highlight w:val="none"/>
              </w:rPr>
              <w:t>2</w:t>
            </w:r>
          </w:p>
        </w:tc>
        <w:tc>
          <w:tcPr>
            <w:tcW w:w="2131" w:type="dxa"/>
          </w:tcPr>
          <w:p>
            <w:pPr>
              <w:jc w:val="center"/>
              <w:rPr>
                <w:rFonts w:cs="Times New Roman"/>
                <w:color w:val="auto"/>
                <w:sz w:val="24"/>
                <w:szCs w:val="24"/>
                <w:highlight w:val="none"/>
              </w:rPr>
            </w:pPr>
            <w:r>
              <w:rPr>
                <w:rFonts w:hint="eastAsia"/>
                <w:color w:val="auto"/>
                <w:sz w:val="24"/>
                <w:szCs w:val="24"/>
                <w:highlight w:val="none"/>
              </w:rPr>
              <w:t>需半年一检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jc w:val="center"/>
              <w:rPr>
                <w:rFonts w:cs="Times New Roman"/>
                <w:color w:val="auto"/>
                <w:sz w:val="24"/>
                <w:szCs w:val="24"/>
                <w:highlight w:val="none"/>
              </w:rPr>
            </w:pPr>
            <w:r>
              <w:rPr>
                <w:rFonts w:hint="eastAsia"/>
                <w:color w:val="auto"/>
                <w:sz w:val="24"/>
                <w:szCs w:val="24"/>
                <w:highlight w:val="none"/>
              </w:rPr>
              <w:t>18</w:t>
            </w:r>
          </w:p>
        </w:tc>
        <w:tc>
          <w:tcPr>
            <w:tcW w:w="3305" w:type="dxa"/>
          </w:tcPr>
          <w:p>
            <w:pPr>
              <w:jc w:val="center"/>
              <w:rPr>
                <w:rFonts w:cs="Times New Roman"/>
                <w:color w:val="auto"/>
                <w:sz w:val="24"/>
                <w:szCs w:val="24"/>
                <w:highlight w:val="none"/>
              </w:rPr>
            </w:pPr>
            <w:r>
              <w:rPr>
                <w:rFonts w:hint="eastAsia"/>
                <w:color w:val="auto"/>
                <w:sz w:val="24"/>
                <w:szCs w:val="24"/>
                <w:highlight w:val="none"/>
              </w:rPr>
              <w:t>离心机</w:t>
            </w:r>
          </w:p>
        </w:tc>
        <w:tc>
          <w:tcPr>
            <w:tcW w:w="2131" w:type="dxa"/>
          </w:tcPr>
          <w:p>
            <w:pPr>
              <w:jc w:val="center"/>
              <w:rPr>
                <w:rFonts w:cs="Times New Roman"/>
                <w:color w:val="auto"/>
                <w:sz w:val="24"/>
                <w:szCs w:val="24"/>
                <w:highlight w:val="none"/>
              </w:rPr>
            </w:pPr>
            <w:r>
              <w:rPr>
                <w:rFonts w:hint="eastAsia"/>
                <w:color w:val="auto"/>
                <w:sz w:val="24"/>
                <w:szCs w:val="24"/>
                <w:highlight w:val="none"/>
              </w:rPr>
              <w:t>25</w:t>
            </w:r>
          </w:p>
        </w:tc>
        <w:tc>
          <w:tcPr>
            <w:tcW w:w="2131" w:type="dxa"/>
          </w:tcPr>
          <w:p>
            <w:pPr>
              <w:rPr>
                <w:rFonts w:cs="Times New Roman"/>
                <w:color w:val="auto"/>
                <w:sz w:val="24"/>
                <w:szCs w:val="24"/>
                <w:highlight w:val="none"/>
              </w:rPr>
            </w:pPr>
            <w:r>
              <w:rPr>
                <w:rFonts w:hint="eastAsia"/>
                <w:color w:val="auto"/>
                <w:sz w:val="24"/>
                <w:szCs w:val="24"/>
                <w:highlight w:val="none"/>
              </w:rPr>
              <w:t>有2台需半年一检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jc w:val="center"/>
              <w:rPr>
                <w:rFonts w:cs="Times New Roman"/>
                <w:color w:val="auto"/>
                <w:sz w:val="24"/>
                <w:szCs w:val="24"/>
                <w:highlight w:val="none"/>
              </w:rPr>
            </w:pPr>
            <w:r>
              <w:rPr>
                <w:rFonts w:hint="eastAsia"/>
                <w:color w:val="auto"/>
                <w:sz w:val="24"/>
                <w:szCs w:val="24"/>
                <w:highlight w:val="none"/>
              </w:rPr>
              <w:t>19</w:t>
            </w:r>
          </w:p>
        </w:tc>
        <w:tc>
          <w:tcPr>
            <w:tcW w:w="3305" w:type="dxa"/>
          </w:tcPr>
          <w:p>
            <w:pPr>
              <w:jc w:val="center"/>
              <w:rPr>
                <w:rFonts w:cs="Times New Roman"/>
                <w:color w:val="auto"/>
                <w:sz w:val="24"/>
                <w:szCs w:val="24"/>
                <w:highlight w:val="none"/>
              </w:rPr>
            </w:pPr>
            <w:r>
              <w:rPr>
                <w:rFonts w:hint="eastAsia"/>
                <w:color w:val="auto"/>
                <w:sz w:val="24"/>
                <w:szCs w:val="24"/>
                <w:highlight w:val="none"/>
              </w:rPr>
              <w:t>二氧化碳红外检测仪</w:t>
            </w:r>
          </w:p>
        </w:tc>
        <w:tc>
          <w:tcPr>
            <w:tcW w:w="2131" w:type="dxa"/>
          </w:tcPr>
          <w:p>
            <w:pPr>
              <w:jc w:val="center"/>
              <w:rPr>
                <w:rFonts w:cs="Times New Roman"/>
                <w:color w:val="auto"/>
                <w:sz w:val="24"/>
                <w:szCs w:val="24"/>
                <w:highlight w:val="none"/>
              </w:rPr>
            </w:pPr>
            <w:r>
              <w:rPr>
                <w:rFonts w:hint="eastAsia"/>
                <w:color w:val="auto"/>
                <w:sz w:val="24"/>
                <w:szCs w:val="24"/>
                <w:highlight w:val="none"/>
              </w:rPr>
              <w:t>1</w:t>
            </w:r>
          </w:p>
        </w:tc>
        <w:tc>
          <w:tcPr>
            <w:tcW w:w="2131" w:type="dxa"/>
          </w:tcPr>
          <w:p>
            <w:pPr>
              <w:rPr>
                <w:rFonts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5" w:type="dxa"/>
          </w:tcPr>
          <w:p>
            <w:pPr>
              <w:jc w:val="center"/>
              <w:rPr>
                <w:rFonts w:cs="Times New Roman"/>
                <w:color w:val="auto"/>
                <w:sz w:val="24"/>
                <w:szCs w:val="24"/>
                <w:highlight w:val="none"/>
              </w:rPr>
            </w:pPr>
            <w:r>
              <w:rPr>
                <w:rFonts w:hint="eastAsia" w:cs="Times New Roman"/>
                <w:color w:val="auto"/>
                <w:sz w:val="24"/>
                <w:szCs w:val="24"/>
                <w:highlight w:val="none"/>
              </w:rPr>
              <w:t>20</w:t>
            </w:r>
          </w:p>
        </w:tc>
        <w:tc>
          <w:tcPr>
            <w:tcW w:w="3305" w:type="dxa"/>
          </w:tcPr>
          <w:p>
            <w:pPr>
              <w:jc w:val="center"/>
              <w:rPr>
                <w:rFonts w:cs="Times New Roman"/>
                <w:color w:val="auto"/>
                <w:sz w:val="24"/>
                <w:szCs w:val="24"/>
                <w:highlight w:val="none"/>
              </w:rPr>
            </w:pPr>
            <w:r>
              <w:rPr>
                <w:rFonts w:hint="eastAsia"/>
                <w:color w:val="auto"/>
                <w:sz w:val="24"/>
                <w:szCs w:val="24"/>
                <w:highlight w:val="none"/>
              </w:rPr>
              <w:t>比浊仪</w:t>
            </w:r>
          </w:p>
        </w:tc>
        <w:tc>
          <w:tcPr>
            <w:tcW w:w="2131" w:type="dxa"/>
          </w:tcPr>
          <w:p>
            <w:pPr>
              <w:jc w:val="center"/>
              <w:rPr>
                <w:rFonts w:cs="Times New Roman"/>
                <w:color w:val="auto"/>
                <w:sz w:val="24"/>
                <w:szCs w:val="24"/>
                <w:highlight w:val="none"/>
              </w:rPr>
            </w:pPr>
            <w:r>
              <w:rPr>
                <w:rFonts w:hint="eastAsia"/>
                <w:color w:val="auto"/>
                <w:sz w:val="24"/>
                <w:szCs w:val="24"/>
                <w:highlight w:val="none"/>
              </w:rPr>
              <w:t>1</w:t>
            </w:r>
          </w:p>
        </w:tc>
        <w:tc>
          <w:tcPr>
            <w:tcW w:w="2131" w:type="dxa"/>
          </w:tcPr>
          <w:p>
            <w:pPr>
              <w:rPr>
                <w:rFonts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jc w:val="center"/>
              <w:rPr>
                <w:rFonts w:cs="Times New Roman"/>
                <w:color w:val="auto"/>
                <w:sz w:val="24"/>
                <w:szCs w:val="24"/>
                <w:highlight w:val="none"/>
              </w:rPr>
            </w:pPr>
            <w:r>
              <w:rPr>
                <w:rFonts w:hint="eastAsia"/>
                <w:color w:val="auto"/>
                <w:sz w:val="24"/>
                <w:szCs w:val="24"/>
                <w:highlight w:val="none"/>
              </w:rPr>
              <w:t>21</w:t>
            </w:r>
          </w:p>
        </w:tc>
        <w:tc>
          <w:tcPr>
            <w:tcW w:w="3305" w:type="dxa"/>
          </w:tcPr>
          <w:p>
            <w:pPr>
              <w:jc w:val="center"/>
              <w:rPr>
                <w:rFonts w:cs="Times New Roman"/>
                <w:color w:val="auto"/>
                <w:sz w:val="24"/>
                <w:szCs w:val="24"/>
                <w:highlight w:val="none"/>
              </w:rPr>
            </w:pPr>
            <w:r>
              <w:rPr>
                <w:rFonts w:hint="eastAsia"/>
                <w:color w:val="auto"/>
                <w:sz w:val="24"/>
                <w:szCs w:val="24"/>
                <w:highlight w:val="none"/>
              </w:rPr>
              <w:t>培养箱</w:t>
            </w:r>
          </w:p>
        </w:tc>
        <w:tc>
          <w:tcPr>
            <w:tcW w:w="2131" w:type="dxa"/>
          </w:tcPr>
          <w:p>
            <w:pPr>
              <w:jc w:val="center"/>
              <w:rPr>
                <w:rFonts w:cs="Times New Roman"/>
                <w:color w:val="auto"/>
                <w:sz w:val="24"/>
                <w:szCs w:val="24"/>
                <w:highlight w:val="none"/>
              </w:rPr>
            </w:pPr>
            <w:r>
              <w:rPr>
                <w:rFonts w:hint="eastAsia"/>
                <w:color w:val="auto"/>
                <w:sz w:val="24"/>
                <w:szCs w:val="24"/>
                <w:highlight w:val="none"/>
              </w:rPr>
              <w:t>6</w:t>
            </w:r>
          </w:p>
        </w:tc>
        <w:tc>
          <w:tcPr>
            <w:tcW w:w="2131" w:type="dxa"/>
          </w:tcPr>
          <w:p>
            <w:pPr>
              <w:rPr>
                <w:rFonts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jc w:val="center"/>
              <w:rPr>
                <w:rFonts w:cs="Times New Roman"/>
                <w:color w:val="auto"/>
                <w:sz w:val="24"/>
                <w:szCs w:val="24"/>
                <w:highlight w:val="none"/>
              </w:rPr>
            </w:pPr>
            <w:r>
              <w:rPr>
                <w:rFonts w:hint="eastAsia"/>
                <w:color w:val="auto"/>
                <w:sz w:val="24"/>
                <w:szCs w:val="24"/>
                <w:highlight w:val="none"/>
              </w:rPr>
              <w:t>22</w:t>
            </w:r>
          </w:p>
        </w:tc>
        <w:tc>
          <w:tcPr>
            <w:tcW w:w="3305" w:type="dxa"/>
          </w:tcPr>
          <w:p>
            <w:pPr>
              <w:jc w:val="center"/>
              <w:rPr>
                <w:rFonts w:cs="Times New Roman"/>
                <w:color w:val="auto"/>
                <w:sz w:val="24"/>
                <w:szCs w:val="24"/>
                <w:highlight w:val="none"/>
              </w:rPr>
            </w:pPr>
            <w:r>
              <w:rPr>
                <w:rFonts w:hint="eastAsia"/>
                <w:color w:val="auto"/>
                <w:sz w:val="24"/>
                <w:szCs w:val="24"/>
                <w:highlight w:val="none"/>
              </w:rPr>
              <w:t>立式压力蒸汽灭菌器</w:t>
            </w:r>
          </w:p>
        </w:tc>
        <w:tc>
          <w:tcPr>
            <w:tcW w:w="2131" w:type="dxa"/>
          </w:tcPr>
          <w:p>
            <w:pPr>
              <w:jc w:val="center"/>
              <w:rPr>
                <w:rFonts w:cs="Times New Roman"/>
                <w:color w:val="auto"/>
                <w:sz w:val="24"/>
                <w:szCs w:val="24"/>
                <w:highlight w:val="none"/>
              </w:rPr>
            </w:pPr>
            <w:r>
              <w:rPr>
                <w:rFonts w:hint="eastAsia"/>
                <w:color w:val="auto"/>
                <w:sz w:val="24"/>
                <w:szCs w:val="24"/>
                <w:highlight w:val="none"/>
              </w:rPr>
              <w:t>3</w:t>
            </w:r>
          </w:p>
        </w:tc>
        <w:tc>
          <w:tcPr>
            <w:tcW w:w="2131" w:type="dxa"/>
          </w:tcPr>
          <w:p>
            <w:pPr>
              <w:rPr>
                <w:rFonts w:cs="Times New Roman"/>
                <w:color w:val="auto"/>
                <w:sz w:val="24"/>
                <w:szCs w:val="24"/>
                <w:highlight w:val="none"/>
              </w:rPr>
            </w:pPr>
            <w:r>
              <w:rPr>
                <w:rFonts w:hint="eastAsia"/>
                <w:color w:val="auto"/>
                <w:sz w:val="24"/>
                <w:szCs w:val="24"/>
                <w:highlight w:val="none"/>
              </w:rPr>
              <w:t>含发热门诊1台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jc w:val="center"/>
              <w:rPr>
                <w:rFonts w:cs="Times New Roman"/>
                <w:color w:val="auto"/>
                <w:sz w:val="24"/>
                <w:szCs w:val="24"/>
                <w:highlight w:val="none"/>
              </w:rPr>
            </w:pPr>
            <w:r>
              <w:rPr>
                <w:rFonts w:hint="eastAsia"/>
                <w:color w:val="auto"/>
                <w:sz w:val="24"/>
                <w:szCs w:val="24"/>
                <w:highlight w:val="none"/>
              </w:rPr>
              <w:t>23</w:t>
            </w:r>
          </w:p>
        </w:tc>
        <w:tc>
          <w:tcPr>
            <w:tcW w:w="3305" w:type="dxa"/>
          </w:tcPr>
          <w:p>
            <w:pPr>
              <w:jc w:val="center"/>
              <w:rPr>
                <w:rFonts w:cs="Times New Roman"/>
                <w:color w:val="auto"/>
                <w:sz w:val="24"/>
                <w:szCs w:val="24"/>
                <w:highlight w:val="none"/>
              </w:rPr>
            </w:pPr>
            <w:r>
              <w:rPr>
                <w:rFonts w:hint="eastAsia"/>
                <w:color w:val="auto"/>
                <w:sz w:val="24"/>
                <w:szCs w:val="24"/>
                <w:highlight w:val="none"/>
              </w:rPr>
              <w:t>水浴和金属浴</w:t>
            </w:r>
          </w:p>
        </w:tc>
        <w:tc>
          <w:tcPr>
            <w:tcW w:w="2131" w:type="dxa"/>
          </w:tcPr>
          <w:p>
            <w:pPr>
              <w:jc w:val="center"/>
              <w:rPr>
                <w:rFonts w:cs="Times New Roman"/>
                <w:color w:val="auto"/>
                <w:sz w:val="24"/>
                <w:szCs w:val="24"/>
                <w:highlight w:val="none"/>
              </w:rPr>
            </w:pPr>
            <w:r>
              <w:rPr>
                <w:rFonts w:hint="eastAsia"/>
                <w:color w:val="auto"/>
                <w:sz w:val="24"/>
                <w:szCs w:val="24"/>
                <w:highlight w:val="none"/>
              </w:rPr>
              <w:t>6</w:t>
            </w:r>
          </w:p>
        </w:tc>
        <w:tc>
          <w:tcPr>
            <w:tcW w:w="2131" w:type="dxa"/>
          </w:tcPr>
          <w:p>
            <w:pPr>
              <w:rPr>
                <w:rFonts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Pr>
          <w:p>
            <w:pPr>
              <w:jc w:val="center"/>
              <w:rPr>
                <w:rFonts w:cs="Times New Roman"/>
                <w:color w:val="auto"/>
                <w:sz w:val="24"/>
                <w:szCs w:val="24"/>
                <w:highlight w:val="none"/>
              </w:rPr>
            </w:pPr>
            <w:r>
              <w:rPr>
                <w:rFonts w:hint="eastAsia"/>
                <w:color w:val="auto"/>
                <w:sz w:val="24"/>
                <w:szCs w:val="24"/>
                <w:highlight w:val="none"/>
              </w:rPr>
              <w:t>24</w:t>
            </w:r>
          </w:p>
        </w:tc>
        <w:tc>
          <w:tcPr>
            <w:tcW w:w="3305" w:type="dxa"/>
          </w:tcPr>
          <w:p>
            <w:pPr>
              <w:jc w:val="center"/>
              <w:rPr>
                <w:rFonts w:cs="Times New Roman"/>
                <w:color w:val="auto"/>
                <w:sz w:val="24"/>
                <w:szCs w:val="24"/>
                <w:highlight w:val="none"/>
              </w:rPr>
            </w:pPr>
            <w:r>
              <w:rPr>
                <w:rFonts w:hint="eastAsia"/>
                <w:color w:val="auto"/>
                <w:sz w:val="24"/>
                <w:szCs w:val="24"/>
                <w:highlight w:val="none"/>
              </w:rPr>
              <w:t>气体流量计</w:t>
            </w:r>
          </w:p>
        </w:tc>
        <w:tc>
          <w:tcPr>
            <w:tcW w:w="2131" w:type="dxa"/>
          </w:tcPr>
          <w:p>
            <w:pPr>
              <w:jc w:val="center"/>
              <w:rPr>
                <w:rFonts w:cs="Times New Roman"/>
                <w:color w:val="auto"/>
                <w:sz w:val="24"/>
                <w:szCs w:val="24"/>
                <w:highlight w:val="none"/>
              </w:rPr>
            </w:pPr>
            <w:r>
              <w:rPr>
                <w:rFonts w:hint="eastAsia"/>
                <w:color w:val="auto"/>
                <w:sz w:val="24"/>
                <w:szCs w:val="24"/>
                <w:highlight w:val="none"/>
              </w:rPr>
              <w:t>2</w:t>
            </w:r>
          </w:p>
        </w:tc>
        <w:tc>
          <w:tcPr>
            <w:tcW w:w="2131" w:type="dxa"/>
          </w:tcPr>
          <w:p>
            <w:pPr>
              <w:jc w:val="center"/>
              <w:rPr>
                <w:rFonts w:cs="Times New Roman"/>
                <w:color w:val="auto"/>
                <w:sz w:val="24"/>
                <w:szCs w:val="24"/>
                <w:highlight w:val="none"/>
              </w:rPr>
            </w:pPr>
            <w:r>
              <w:rPr>
                <w:rFonts w:hint="eastAsia"/>
                <w:color w:val="auto"/>
                <w:sz w:val="24"/>
                <w:szCs w:val="24"/>
                <w:highlight w:val="none"/>
              </w:rPr>
              <w:t>需半年一检</w:t>
            </w:r>
          </w:p>
        </w:tc>
      </w:tr>
    </w:tbl>
    <w:p>
      <w:pPr>
        <w:pStyle w:val="246"/>
        <w:ind w:left="720" w:firstLine="0" w:firstLineChars="0"/>
        <w:rPr>
          <w:color w:val="auto"/>
          <w:sz w:val="28"/>
          <w:szCs w:val="28"/>
          <w:highlight w:val="none"/>
        </w:rPr>
      </w:pPr>
    </w:p>
    <w:p>
      <w:pPr>
        <w:pStyle w:val="246"/>
        <w:ind w:firstLine="0" w:firstLineChars="0"/>
        <w:rPr>
          <w:color w:val="auto"/>
          <w:sz w:val="28"/>
          <w:szCs w:val="28"/>
          <w:highlight w:val="none"/>
        </w:rPr>
      </w:pPr>
      <w:r>
        <w:rPr>
          <w:rFonts w:hint="eastAsia"/>
          <w:color w:val="auto"/>
          <w:sz w:val="28"/>
          <w:szCs w:val="28"/>
          <w:highlight w:val="none"/>
        </w:rPr>
        <w:t>二、服务内容</w:t>
      </w:r>
    </w:p>
    <w:p>
      <w:pPr>
        <w:rPr>
          <w:sz w:val="28"/>
          <w:szCs w:val="28"/>
        </w:rPr>
      </w:pPr>
      <w:r>
        <w:rPr>
          <w:rFonts w:hint="eastAsia"/>
          <w:sz w:val="28"/>
          <w:szCs w:val="28"/>
        </w:rPr>
        <w:t>1、检测项目检定或校准必须符合国家最新版的相关法律、法规、检定规程、技术规范</w:t>
      </w:r>
      <w:r>
        <w:rPr>
          <w:rFonts w:hint="eastAsia"/>
          <w:sz w:val="28"/>
          <w:szCs w:val="28"/>
          <w:lang w:eastAsia="zh-CN"/>
        </w:rPr>
        <w:t>，</w:t>
      </w:r>
      <w:r>
        <w:rPr>
          <w:rFonts w:hint="eastAsia"/>
          <w:sz w:val="28"/>
          <w:szCs w:val="28"/>
        </w:rPr>
        <w:t>并出具完整、合法、有效的检定证书或校准证书。</w:t>
      </w:r>
    </w:p>
    <w:p>
      <w:pPr>
        <w:rPr>
          <w:sz w:val="28"/>
          <w:szCs w:val="28"/>
        </w:rPr>
      </w:pPr>
      <w:r>
        <w:rPr>
          <w:rFonts w:hint="eastAsia"/>
          <w:sz w:val="28"/>
          <w:szCs w:val="28"/>
        </w:rPr>
        <w:t>2、免费协助医院完成强检设备检定相关工作（与相关部门协调、在法定计量技术机构规定时间内配合完成检测等工作）。</w:t>
      </w:r>
    </w:p>
    <w:p>
      <w:pPr>
        <w:rPr>
          <w:sz w:val="28"/>
          <w:szCs w:val="28"/>
        </w:rPr>
      </w:pPr>
      <w:r>
        <w:rPr>
          <w:rFonts w:hint="eastAsia"/>
          <w:sz w:val="28"/>
          <w:szCs w:val="28"/>
        </w:rPr>
        <w:t>3、若有非强制检定设备不合格，需及时通知院方，待院方维修后进行免费二次检测并出具检测报告；对于检测不合格且院方认定无维修价值的设备医院无需支付检测费用。</w:t>
      </w:r>
    </w:p>
    <w:p>
      <w:pPr>
        <w:rPr>
          <w:rFonts w:hint="eastAsia"/>
          <w:sz w:val="28"/>
          <w:szCs w:val="28"/>
          <w:lang w:eastAsia="zh-CN"/>
        </w:rPr>
      </w:pPr>
      <w:r>
        <w:rPr>
          <w:rFonts w:hint="eastAsia"/>
          <w:sz w:val="28"/>
          <w:szCs w:val="28"/>
        </w:rPr>
        <w:t>4、合同签订后按设备校准计划提前告知检测公司并于七个工作日内完成检测，在完成检测后五个工作日内出检定、校准证书</w:t>
      </w:r>
      <w:r>
        <w:rPr>
          <w:rFonts w:hint="eastAsia"/>
          <w:sz w:val="28"/>
          <w:szCs w:val="28"/>
          <w:lang w:eastAsia="zh-CN"/>
        </w:rPr>
        <w:t>。</w:t>
      </w:r>
    </w:p>
    <w:p>
      <w:pPr>
        <w:rPr>
          <w:sz w:val="28"/>
          <w:szCs w:val="28"/>
        </w:rPr>
      </w:pPr>
      <w:r>
        <w:rPr>
          <w:rFonts w:hint="eastAsia"/>
          <w:sz w:val="28"/>
          <w:szCs w:val="28"/>
        </w:rPr>
        <w:t>5、检定、校准项目均应建立计量标准，且检定项目应获得市级及以上计量行政部门授权，计量设备与授权一致。</w:t>
      </w:r>
    </w:p>
    <w:p>
      <w:pPr>
        <w:rPr>
          <w:sz w:val="28"/>
          <w:szCs w:val="28"/>
        </w:rPr>
      </w:pPr>
      <w:r>
        <w:rPr>
          <w:rFonts w:hint="eastAsia"/>
          <w:sz w:val="28"/>
          <w:szCs w:val="28"/>
        </w:rPr>
        <w:t>6、计量器具要求：所用计量设备均应与计量标准考核证书中所列设备一致，溯源合格，溯源证书在有效期内。设备参数符合计量检定规程和校准规范要求，投标人提供有效证明材料。所有计量数据均可溯源至国家基准，出具的证书、报告均可获得市场监督管理计量行政部门认可，具有法律效力。</w:t>
      </w:r>
    </w:p>
    <w:p>
      <w:pPr>
        <w:rPr>
          <w:sz w:val="28"/>
          <w:szCs w:val="28"/>
        </w:rPr>
      </w:pPr>
      <w:r>
        <w:rPr>
          <w:rFonts w:hint="eastAsia"/>
          <w:sz w:val="28"/>
          <w:szCs w:val="28"/>
        </w:rPr>
        <w:t>7、供应商检测技术能力</w:t>
      </w:r>
      <w:r>
        <w:rPr>
          <w:rFonts w:hint="eastAsia"/>
          <w:sz w:val="28"/>
          <w:szCs w:val="28"/>
          <w:lang w:val="en-US" w:eastAsia="zh-CN"/>
        </w:rPr>
        <w:t>已</w:t>
      </w:r>
      <w:r>
        <w:rPr>
          <w:rFonts w:hint="eastAsia"/>
          <w:sz w:val="28"/>
          <w:szCs w:val="28"/>
        </w:rPr>
        <w:t>通过CMA实验室资质认定、CNAS认定，一、二级注册计量师数量</w:t>
      </w:r>
      <w:r>
        <w:rPr>
          <w:rFonts w:hint="eastAsia"/>
          <w:sz w:val="28"/>
          <w:szCs w:val="28"/>
          <w:lang w:eastAsia="zh-CN"/>
        </w:rPr>
        <w:t>，</w:t>
      </w:r>
      <w:r>
        <w:rPr>
          <w:rFonts w:hint="eastAsia"/>
          <w:sz w:val="28"/>
          <w:szCs w:val="28"/>
        </w:rPr>
        <w:t>这两年参加过玻璃量器，砝码，天平、玻璃温度计，湿度传感器的对比。</w:t>
      </w:r>
    </w:p>
    <w:p>
      <w:pPr>
        <w:rPr>
          <w:sz w:val="28"/>
          <w:szCs w:val="28"/>
        </w:rPr>
      </w:pPr>
      <w:r>
        <w:rPr>
          <w:rFonts w:hint="eastAsia"/>
          <w:sz w:val="28"/>
          <w:szCs w:val="28"/>
        </w:rPr>
        <w:t>8、技术服务响应及时性，要求在工作日工作时间内提供</w:t>
      </w:r>
      <w:r>
        <w:rPr>
          <w:sz w:val="28"/>
          <w:szCs w:val="28"/>
        </w:rPr>
        <w:t>24</w:t>
      </w:r>
      <w:r>
        <w:rPr>
          <w:rFonts w:hint="eastAsia"/>
          <w:sz w:val="28"/>
          <w:szCs w:val="28"/>
        </w:rPr>
        <w:t>小时内到达现场服务，以相关证明及承诺说明进行考查。</w:t>
      </w:r>
    </w:p>
    <w:p>
      <w:pPr>
        <w:rPr>
          <w:sz w:val="28"/>
          <w:szCs w:val="28"/>
        </w:rPr>
      </w:pPr>
      <w:r>
        <w:rPr>
          <w:rFonts w:hint="eastAsia"/>
          <w:sz w:val="28"/>
          <w:szCs w:val="28"/>
          <w:lang w:val="en-US" w:eastAsia="zh-CN"/>
        </w:rPr>
        <w:t>9</w:t>
      </w:r>
      <w:r>
        <w:rPr>
          <w:rFonts w:hint="eastAsia"/>
          <w:sz w:val="28"/>
          <w:szCs w:val="28"/>
        </w:rPr>
        <w:t>、具有固定的工作场所，工作环境满足检验检测要求。</w:t>
      </w:r>
    </w:p>
    <w:p>
      <w:pPr>
        <w:rPr>
          <w:sz w:val="28"/>
          <w:szCs w:val="28"/>
        </w:rPr>
      </w:pPr>
      <w:r>
        <w:rPr>
          <w:rFonts w:hint="eastAsia"/>
          <w:sz w:val="28"/>
          <w:szCs w:val="28"/>
        </w:rPr>
        <w:t>1</w:t>
      </w:r>
      <w:r>
        <w:rPr>
          <w:rFonts w:hint="eastAsia"/>
          <w:sz w:val="28"/>
          <w:szCs w:val="28"/>
          <w:lang w:val="en-US" w:eastAsia="zh-CN"/>
        </w:rPr>
        <w:t>0</w:t>
      </w:r>
      <w:r>
        <w:rPr>
          <w:rFonts w:hint="eastAsia"/>
          <w:sz w:val="28"/>
          <w:szCs w:val="28"/>
        </w:rPr>
        <w:t>、具有并有效运行保证其检验检测活动独立、公正、科学、诚信的管理体系</w:t>
      </w:r>
    </w:p>
    <w:p>
      <w:pPr>
        <w:rPr>
          <w:sz w:val="28"/>
          <w:szCs w:val="28"/>
        </w:rPr>
      </w:pPr>
      <w:r>
        <w:rPr>
          <w:rFonts w:hint="eastAsia"/>
          <w:sz w:val="28"/>
          <w:szCs w:val="28"/>
        </w:rPr>
        <w:t>1</w:t>
      </w:r>
      <w:r>
        <w:rPr>
          <w:rFonts w:hint="eastAsia"/>
          <w:sz w:val="28"/>
          <w:szCs w:val="28"/>
          <w:lang w:val="en-US" w:eastAsia="zh-CN"/>
        </w:rPr>
        <w:t>1</w:t>
      </w:r>
      <w:r>
        <w:rPr>
          <w:rFonts w:hint="eastAsia"/>
          <w:sz w:val="28"/>
          <w:szCs w:val="28"/>
        </w:rPr>
        <w:t>、具有与其从事检验检测活动相适应的检验检测技术人员和管理人员。所有检测人员均有公司授权持证上岗。</w:t>
      </w:r>
    </w:p>
    <w:p>
      <w:pPr>
        <w:rPr>
          <w:sz w:val="28"/>
          <w:szCs w:val="28"/>
        </w:rPr>
      </w:pPr>
      <w:r>
        <w:rPr>
          <w:rFonts w:hint="eastAsia"/>
          <w:sz w:val="28"/>
          <w:szCs w:val="28"/>
        </w:rPr>
        <w:t>1</w:t>
      </w:r>
      <w:r>
        <w:rPr>
          <w:rFonts w:hint="eastAsia"/>
          <w:sz w:val="28"/>
          <w:szCs w:val="28"/>
          <w:lang w:val="en-US" w:eastAsia="zh-CN"/>
        </w:rPr>
        <w:t>2</w:t>
      </w:r>
      <w:r>
        <w:rPr>
          <w:rFonts w:hint="eastAsia"/>
          <w:sz w:val="28"/>
          <w:szCs w:val="28"/>
        </w:rPr>
        <w:t>、同时提供电子版，纸质版检测报告。</w:t>
      </w:r>
    </w:p>
    <w:p>
      <w:pPr>
        <w:rPr>
          <w:sz w:val="28"/>
          <w:szCs w:val="28"/>
        </w:rPr>
      </w:pPr>
      <w:r>
        <w:rPr>
          <w:rFonts w:hint="eastAsia"/>
          <w:sz w:val="28"/>
          <w:szCs w:val="28"/>
        </w:rPr>
        <w:t>1</w:t>
      </w:r>
      <w:r>
        <w:rPr>
          <w:rFonts w:hint="eastAsia"/>
          <w:sz w:val="28"/>
          <w:szCs w:val="28"/>
          <w:lang w:val="en-US" w:eastAsia="zh-CN"/>
        </w:rPr>
        <w:t>3</w:t>
      </w:r>
      <w:r>
        <w:rPr>
          <w:rFonts w:hint="eastAsia"/>
          <w:sz w:val="28"/>
          <w:szCs w:val="28"/>
        </w:rPr>
        <w:t>、需检测项目范围超出资质范围的，可将检测项目代送至相关有资质机构进行检测校准。时效以代送有资质的机构时间为准。</w:t>
      </w:r>
    </w:p>
    <w:p>
      <w:pPr>
        <w:rPr>
          <w:sz w:val="28"/>
          <w:szCs w:val="28"/>
        </w:rPr>
      </w:pPr>
      <w:r>
        <w:rPr>
          <w:rFonts w:hint="eastAsia"/>
          <w:sz w:val="28"/>
          <w:szCs w:val="28"/>
        </w:rPr>
        <w:t>1</w:t>
      </w:r>
      <w:r>
        <w:rPr>
          <w:rFonts w:hint="eastAsia"/>
          <w:sz w:val="28"/>
          <w:szCs w:val="28"/>
          <w:lang w:val="en-US" w:eastAsia="zh-CN"/>
        </w:rPr>
        <w:t>4</w:t>
      </w:r>
      <w:r>
        <w:rPr>
          <w:rFonts w:hint="eastAsia"/>
          <w:sz w:val="28"/>
          <w:szCs w:val="28"/>
        </w:rPr>
        <w:t>、可提供校准周期的建</w:t>
      </w:r>
      <w:r>
        <w:rPr>
          <w:rFonts w:hint="eastAsia"/>
          <w:sz w:val="28"/>
          <w:szCs w:val="28"/>
          <w:lang w:val="en-US" w:eastAsia="zh-CN"/>
        </w:rPr>
        <w:t>议</w:t>
      </w:r>
      <w:r>
        <w:rPr>
          <w:rFonts w:hint="eastAsia"/>
          <w:sz w:val="28"/>
          <w:szCs w:val="28"/>
        </w:rPr>
        <w:t>。</w:t>
      </w:r>
    </w:p>
    <w:p>
      <w:pPr>
        <w:rPr>
          <w:sz w:val="28"/>
          <w:szCs w:val="28"/>
        </w:rPr>
      </w:pPr>
      <w:r>
        <w:rPr>
          <w:rFonts w:hint="eastAsia"/>
          <w:sz w:val="28"/>
          <w:szCs w:val="28"/>
        </w:rPr>
        <w:t>1</w:t>
      </w:r>
      <w:r>
        <w:rPr>
          <w:rFonts w:hint="eastAsia"/>
          <w:sz w:val="28"/>
          <w:szCs w:val="28"/>
          <w:lang w:val="en-US" w:eastAsia="zh-CN"/>
        </w:rPr>
        <w:t>5</w:t>
      </w:r>
      <w:r>
        <w:rPr>
          <w:rFonts w:hint="eastAsia"/>
          <w:sz w:val="28"/>
          <w:szCs w:val="28"/>
        </w:rPr>
        <w:t>、可提供本次检测的分析报告。</w:t>
      </w:r>
    </w:p>
    <w:p>
      <w:pPr>
        <w:rPr>
          <w:sz w:val="28"/>
          <w:szCs w:val="28"/>
        </w:rPr>
      </w:pPr>
      <w:r>
        <w:rPr>
          <w:rFonts w:hint="eastAsia"/>
          <w:sz w:val="28"/>
          <w:szCs w:val="28"/>
        </w:rPr>
        <w:t>1</w:t>
      </w:r>
      <w:r>
        <w:rPr>
          <w:rFonts w:hint="eastAsia"/>
          <w:sz w:val="28"/>
          <w:szCs w:val="28"/>
          <w:lang w:val="en-US" w:eastAsia="zh-CN"/>
        </w:rPr>
        <w:t>6</w:t>
      </w:r>
      <w:r>
        <w:rPr>
          <w:rFonts w:hint="eastAsia"/>
          <w:sz w:val="28"/>
          <w:szCs w:val="28"/>
        </w:rPr>
        <w:t>、无偿提供检测校准相关咨询。</w:t>
      </w:r>
    </w:p>
    <w:p>
      <w:pPr>
        <w:rPr>
          <w:rFonts w:hint="eastAsia"/>
          <w:color w:val="auto"/>
          <w:sz w:val="28"/>
          <w:szCs w:val="28"/>
          <w:highlight w:val="none"/>
          <w:lang w:val="en-US" w:eastAsia="zh-CN"/>
        </w:rPr>
      </w:pPr>
      <w:r>
        <w:rPr>
          <w:rFonts w:hint="eastAsia"/>
          <w:color w:val="auto"/>
          <w:sz w:val="28"/>
          <w:szCs w:val="28"/>
          <w:highlight w:val="none"/>
          <w:lang w:val="en-US" w:eastAsia="zh-CN"/>
        </w:rPr>
        <w:t>附件：</w:t>
      </w:r>
    </w:p>
    <w:tbl>
      <w:tblPr>
        <w:tblStyle w:val="28"/>
        <w:tblW w:w="658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08"/>
        <w:gridCol w:w="2754"/>
        <w:gridCol w:w="1311"/>
        <w:gridCol w:w="1410"/>
        <w:gridCol w:w="21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设备编号</w:t>
            </w:r>
          </w:p>
        </w:tc>
        <w:tc>
          <w:tcPr>
            <w:tcW w:w="2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设备名称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型号/规格</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放置位置</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校准点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单道手动可调节移液器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0.5-10ul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PCR组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单道手动可调节移液器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0.5-10ul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PCR组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单道手动可调节移液器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PCR组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单道手动可调节移液器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PCR组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单道手动可调节移液器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20-200ul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PCR组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单道手动可调节移液器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20-200ul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PCR组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单道手动可调节移液器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100-1000ul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PCR组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300ul、1000ul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单道手动可调节移液器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100-1000ul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PCR组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300ul、1000ul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单道手动可调节移液器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0.5-10ul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PCR组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单道手动可调节移液器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0.5-10ul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PCR组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单道手动可调节移液器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PCR组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单道手动可调节移液器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PCR组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单道手动可调节移液器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20-200ul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PCR组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单道手动可调节移液器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20-200ul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PCR组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单道手动可调节移液器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100-1000ul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PCR组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300ul、1000ul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单道手动可调节移液器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100-1000ul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PCR组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300ul、1000ul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单道手动可调节移液器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0.5-10ul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PCR组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单道手动可调节移液器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0.5-10ul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PCR组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单道手动可调节移液器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PCR组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单道手动可调节移液器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PCR组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单道手动可调节移液器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20-200ul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PCR组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单道手动可调节移液器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20-200ul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PCR组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单道手动可调节移液器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100-1000ul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PCR组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300ul、1000ul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单道手动可调节移液器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100-1000ul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PCR组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300ul、1000ul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Eppendorf手动可调节移液器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10-100ul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PCR组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Eppendorf手动可调节移液器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10-100ul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PCR组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Eppendorf手动可调节移液器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10-100ul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PCR组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Eppendorf手动可调节移液器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10-100ul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PCR组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Eppendorf手动可调节移液器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10-100ul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PCR组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Eppendorf手动可调节移液器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10-100ul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PCR组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Eppendorf手动可调节移液器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10-100ul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PCR组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Eppendorf手动可调节移液器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10-100ul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PCR组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CFSY-PCR-B-42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Eppendorf手动可调节移液器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10-100ul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PCR组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20ul、70ul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CFSY-PCR-B-44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单道手动可调节移液器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0.5-10ul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PCR组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CFSY-PCR-B-45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单道手动可调节移液器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PCR组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CFSY-PCR-B-46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单道手动可调节移液器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20-200ul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PCR组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CFSY-PCR-B-47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单道手动可调节移液器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100-1000ul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PCR组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300ul、1000ul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CFSY-FG-B-02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5-50μl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临床发光组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20ul、50ul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CFSY-FG-B-03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单道手动可调节移液器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20-200μl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临床发光组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100ul、150ul、200ul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CFSY-FG-B-33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100-1000μl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临床发光组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CFSY-XY-C-66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临床血液组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CFSY-XY-C-67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临床血液组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CFSY-XY-C-68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临床血液组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CFSY-XY-C-69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临床血液组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CFSY-XY-C-70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临床血液组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CFSY-XY-C-71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临床血液组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CFSY-XT-B-01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细胞形态组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CFSY-XT-B-02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细胞形态组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CFSY-XT-B-03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细胞形态组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CFSY-XT-B-04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细胞形态组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20ul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CFSY-SH-C-47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临床生化组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100μl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CFSY-SH-C-48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临床生化组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200μl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CFSY-SH-C-49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临床生化组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500μl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CFSY-WSW-C-70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临床微生物组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1μl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CFSY-WSW-C-71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临床微生物组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20μl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CFSY-WSW-C-72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临床微生物组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135μl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CFSY-WSW-C-73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临床微生物组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145μl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CFSY-WSW-C-74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临床微生物组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100μl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CFSY-WSW-C-75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临床微生物组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280μl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CFSY-WSW-C-76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临床微生物组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300μl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CFSY-WSW-C-84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临床微生物组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145μl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CFSY-WSW-C-85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临床微生物组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280μl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CFSY-WSW-C-212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临床微生物组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10μl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CFSY-MY-C-54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YE6K845025移液器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临床免疫组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10μl、30μl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CFSY-MY-C-55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YE6K845026移液器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临床免疫组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10μl、30μl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CFSY-MY-C-56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YE6K845029移液器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临床免疫组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10μl、30μl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CFSY-MY-C-57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15626130移液器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临床免疫组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20μl、30μl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CFSY-MY-C-58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15626115移液器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临床免疫组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20μl、30μl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CFSY-MY-C-59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YE6K857182移液器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临床免疫组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10μl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CFSY-MY-C-63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15624890移液器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临床免疫组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15μl、30μl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CFSY-MY-C-66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DS65474移液器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临床免疫组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180μl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CFSY-MY-C-67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17529639移液器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临床免疫组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180μl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CFSY-MY-C-69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17529644移液器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临床免疫组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100μl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CFSY-MY-C-70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YE16AAA0058215移液器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临床免疫组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80μl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CFSY-MY-C-71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RS69226移液器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临床免疫组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200ul、100μl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CFSY-MY-C-75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17529643移液器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临床免疫组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100μl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CFSY-MY-C-79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排枪12588980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临床免疫组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300μl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CFSY-MY-C-80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排枪12588993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临床免疫组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300μl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CFSY-MY-C-82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排枪12588992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临床免疫组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300μl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CFSY-MY-C-83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排枪15549103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临床免疫组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300μl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CFSY-MY-C-85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排枪12589019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临床免疫组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300μl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CFSY-MY-C-88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DU70125移液器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临床免疫组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CFSY-MY-C-105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YE16BAA0089369移液器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临床免疫组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270μl、990μl</w:t>
            </w:r>
          </w:p>
        </w:tc>
      </w:tr>
    </w:tbl>
    <w:p>
      <w:pPr>
        <w:rPr>
          <w:color w:val="auto"/>
          <w:sz w:val="28"/>
          <w:szCs w:val="28"/>
          <w:highlight w:val="none"/>
        </w:rPr>
      </w:pPr>
    </w:p>
    <w:p>
      <w:pPr>
        <w:spacing w:line="360" w:lineRule="auto"/>
        <w:rPr>
          <w:rFonts w:hint="eastAsia" w:ascii="宋体" w:hAnsi="宋体" w:eastAsia="宋体" w:cs="宋体"/>
          <w:color w:val="auto"/>
          <w:sz w:val="24"/>
          <w:highlight w:val="none"/>
        </w:rPr>
      </w:pPr>
    </w:p>
    <w:sectPr>
      <w:headerReference r:id="rId6" w:type="default"/>
      <w:footerReference r:id="rId7" w:type="default"/>
      <w:pgSz w:w="11906" w:h="16838"/>
      <w:pgMar w:top="1134" w:right="1418" w:bottom="1134"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iberation Sans">
    <w:altName w:val="宋体"/>
    <w:panose1 w:val="00000000000000000000"/>
    <w:charset w:val="86"/>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rect id="文本框 12" o:spid="_x0000_s4099"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2</w:t>
    </w:r>
    <w:r>
      <w:rPr>
        <w:lang w:val="zh-CN"/>
      </w:rPr>
      <w:fldChar w:fldCharType="end"/>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rect id="文本框 1024" o:spid="_x0000_s4100"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43</w:t>
                </w:r>
                <w:r>
                  <w:rPr>
                    <w:rFonts w:hint="eastAsia"/>
                    <w:sz w:val="18"/>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tabs>
        <w:tab w:val="left" w:pos="380"/>
        <w:tab w:val="center" w:pos="4595"/>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00" w:lineRule="auto"/>
      <w:jc w:val="left"/>
      <w:textAlignment w:val="base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213272"/>
    <w:multiLevelType w:val="singleLevel"/>
    <w:tmpl w:val="FD213272"/>
    <w:lvl w:ilvl="0" w:tentative="0">
      <w:start w:val="4"/>
      <w:numFmt w:val="chineseCounting"/>
      <w:suff w:val="nothing"/>
      <w:lvlText w:val="第%1条　"/>
      <w:lvlJc w:val="left"/>
      <w:pPr>
        <w:ind w:left="0"/>
      </w:pPr>
      <w:rPr>
        <w:rFonts w:hint="eastAsia"/>
      </w:rPr>
    </w:lvl>
  </w:abstractNum>
  <w:abstractNum w:abstractNumId="1">
    <w:nsid w:val="00000000"/>
    <w:multiLevelType w:val="multilevel"/>
    <w:tmpl w:val="0000000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1"/>
    <w:multiLevelType w:val="multilevel"/>
    <w:tmpl w:val="00000001"/>
    <w:lvl w:ilvl="0" w:tentative="0">
      <w:start w:val="24"/>
      <w:numFmt w:val="decimal"/>
      <w:suff w:val="space"/>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
    <w:nsid w:val="2B744E40"/>
    <w:multiLevelType w:val="singleLevel"/>
    <w:tmpl w:val="2B744E40"/>
    <w:lvl w:ilvl="0" w:tentative="0">
      <w:start w:val="1"/>
      <w:numFmt w:val="chineseCountingThousand"/>
      <w:pStyle w:val="142"/>
      <w:lvlText w:val="第%1条"/>
      <w:lvlJc w:val="left"/>
      <w:pPr>
        <w:tabs>
          <w:tab w:val="left" w:pos="1035"/>
        </w:tabs>
        <w:ind w:left="1035" w:hanging="1035"/>
      </w:pPr>
      <w:rPr>
        <w:rFonts w:hint="eastAsia" w:eastAsia="宋体"/>
        <w:sz w:val="24"/>
        <w:szCs w:val="24"/>
      </w:rPr>
    </w:lvl>
  </w:abstractNum>
  <w:abstractNum w:abstractNumId="4">
    <w:nsid w:val="5D807A9B"/>
    <w:multiLevelType w:val="singleLevel"/>
    <w:tmpl w:val="5D807A9B"/>
    <w:lvl w:ilvl="0" w:tentative="0">
      <w:start w:val="18"/>
      <w:numFmt w:val="chineseCounting"/>
      <w:suff w:val="nothing"/>
      <w:lvlText w:val="第%1条"/>
      <w:lvlJc w:val="left"/>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efaultTabStop w:val="420"/>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Q1YjMxYjdhNDEyMGI0YjM3NmEwNGM1ZjQ4NjcxZWQifQ=="/>
  </w:docVars>
  <w:rsids>
    <w:rsidRoot w:val="0013531F"/>
    <w:rsid w:val="000008CB"/>
    <w:rsid w:val="00034121"/>
    <w:rsid w:val="0003499D"/>
    <w:rsid w:val="000477FD"/>
    <w:rsid w:val="00062DA4"/>
    <w:rsid w:val="000702C3"/>
    <w:rsid w:val="00072B6C"/>
    <w:rsid w:val="00072DE1"/>
    <w:rsid w:val="00073A0F"/>
    <w:rsid w:val="00076454"/>
    <w:rsid w:val="0009021C"/>
    <w:rsid w:val="00092CD3"/>
    <w:rsid w:val="00093F95"/>
    <w:rsid w:val="000A7560"/>
    <w:rsid w:val="000B046C"/>
    <w:rsid w:val="000B7FE3"/>
    <w:rsid w:val="000C1371"/>
    <w:rsid w:val="000C799D"/>
    <w:rsid w:val="000C7A5E"/>
    <w:rsid w:val="000D388E"/>
    <w:rsid w:val="000D4139"/>
    <w:rsid w:val="000D57DB"/>
    <w:rsid w:val="000E7522"/>
    <w:rsid w:val="000F0651"/>
    <w:rsid w:val="000F1DFF"/>
    <w:rsid w:val="000F28BE"/>
    <w:rsid w:val="000F6A97"/>
    <w:rsid w:val="000F6E81"/>
    <w:rsid w:val="00100D1F"/>
    <w:rsid w:val="00101961"/>
    <w:rsid w:val="0011307C"/>
    <w:rsid w:val="00120BA2"/>
    <w:rsid w:val="00126BDC"/>
    <w:rsid w:val="0013280D"/>
    <w:rsid w:val="0013531F"/>
    <w:rsid w:val="00137B80"/>
    <w:rsid w:val="00141B70"/>
    <w:rsid w:val="001429D9"/>
    <w:rsid w:val="00143A45"/>
    <w:rsid w:val="00151D2F"/>
    <w:rsid w:val="00156681"/>
    <w:rsid w:val="00156CC2"/>
    <w:rsid w:val="00164AC5"/>
    <w:rsid w:val="0017417C"/>
    <w:rsid w:val="00174BBB"/>
    <w:rsid w:val="00185D2A"/>
    <w:rsid w:val="00191E51"/>
    <w:rsid w:val="001B511B"/>
    <w:rsid w:val="001B51FC"/>
    <w:rsid w:val="001C3AF5"/>
    <w:rsid w:val="001D0949"/>
    <w:rsid w:val="001D2BB3"/>
    <w:rsid w:val="001D6D6E"/>
    <w:rsid w:val="001D7FF3"/>
    <w:rsid w:val="001E1656"/>
    <w:rsid w:val="001E2A07"/>
    <w:rsid w:val="001E5CA5"/>
    <w:rsid w:val="001E5F61"/>
    <w:rsid w:val="001F0220"/>
    <w:rsid w:val="001F06BF"/>
    <w:rsid w:val="001F1132"/>
    <w:rsid w:val="001F2498"/>
    <w:rsid w:val="00203A51"/>
    <w:rsid w:val="00205750"/>
    <w:rsid w:val="00207F3B"/>
    <w:rsid w:val="0021170C"/>
    <w:rsid w:val="00216A93"/>
    <w:rsid w:val="00222DD9"/>
    <w:rsid w:val="0022306B"/>
    <w:rsid w:val="002337A4"/>
    <w:rsid w:val="00235E4B"/>
    <w:rsid w:val="00241611"/>
    <w:rsid w:val="00242D12"/>
    <w:rsid w:val="00250DD4"/>
    <w:rsid w:val="00255109"/>
    <w:rsid w:val="00256516"/>
    <w:rsid w:val="00261444"/>
    <w:rsid w:val="00263266"/>
    <w:rsid w:val="002738D1"/>
    <w:rsid w:val="00275BE2"/>
    <w:rsid w:val="00280F18"/>
    <w:rsid w:val="00281691"/>
    <w:rsid w:val="002975B4"/>
    <w:rsid w:val="002B5C64"/>
    <w:rsid w:val="002C0C92"/>
    <w:rsid w:val="002C6C38"/>
    <w:rsid w:val="002D08CB"/>
    <w:rsid w:val="002D3A4C"/>
    <w:rsid w:val="002E3325"/>
    <w:rsid w:val="002E68D5"/>
    <w:rsid w:val="0031154A"/>
    <w:rsid w:val="00313996"/>
    <w:rsid w:val="00313D5B"/>
    <w:rsid w:val="00322C6F"/>
    <w:rsid w:val="003257DB"/>
    <w:rsid w:val="00325FB3"/>
    <w:rsid w:val="00327979"/>
    <w:rsid w:val="00333DED"/>
    <w:rsid w:val="003354DB"/>
    <w:rsid w:val="00346806"/>
    <w:rsid w:val="00353F05"/>
    <w:rsid w:val="0035449B"/>
    <w:rsid w:val="00357320"/>
    <w:rsid w:val="00361AA5"/>
    <w:rsid w:val="00364342"/>
    <w:rsid w:val="00381E88"/>
    <w:rsid w:val="00391BAC"/>
    <w:rsid w:val="003B07BF"/>
    <w:rsid w:val="003B2AFC"/>
    <w:rsid w:val="003B3A96"/>
    <w:rsid w:val="003B40C6"/>
    <w:rsid w:val="003B450D"/>
    <w:rsid w:val="003B70FA"/>
    <w:rsid w:val="003D12CB"/>
    <w:rsid w:val="003D1ABD"/>
    <w:rsid w:val="003D370B"/>
    <w:rsid w:val="003D7367"/>
    <w:rsid w:val="003D792B"/>
    <w:rsid w:val="003E0783"/>
    <w:rsid w:val="003E0CFD"/>
    <w:rsid w:val="003E1B5A"/>
    <w:rsid w:val="003E506D"/>
    <w:rsid w:val="003E7017"/>
    <w:rsid w:val="003F36C9"/>
    <w:rsid w:val="003F39DC"/>
    <w:rsid w:val="00402035"/>
    <w:rsid w:val="00404C5C"/>
    <w:rsid w:val="0040539B"/>
    <w:rsid w:val="00406480"/>
    <w:rsid w:val="00410F3E"/>
    <w:rsid w:val="00426EF1"/>
    <w:rsid w:val="00430B97"/>
    <w:rsid w:val="00431552"/>
    <w:rsid w:val="004410FE"/>
    <w:rsid w:val="00442634"/>
    <w:rsid w:val="004442F4"/>
    <w:rsid w:val="00447CF3"/>
    <w:rsid w:val="00455860"/>
    <w:rsid w:val="00456338"/>
    <w:rsid w:val="0046046B"/>
    <w:rsid w:val="00462C48"/>
    <w:rsid w:val="00472643"/>
    <w:rsid w:val="004761C4"/>
    <w:rsid w:val="004775D1"/>
    <w:rsid w:val="004776EF"/>
    <w:rsid w:val="00481E8D"/>
    <w:rsid w:val="0048253A"/>
    <w:rsid w:val="00486A3E"/>
    <w:rsid w:val="00487673"/>
    <w:rsid w:val="00487A58"/>
    <w:rsid w:val="004905AD"/>
    <w:rsid w:val="00491B7D"/>
    <w:rsid w:val="00492CB9"/>
    <w:rsid w:val="00495839"/>
    <w:rsid w:val="00496680"/>
    <w:rsid w:val="004A15A4"/>
    <w:rsid w:val="004A2B37"/>
    <w:rsid w:val="004A39EF"/>
    <w:rsid w:val="004A7937"/>
    <w:rsid w:val="004B7E53"/>
    <w:rsid w:val="004C2311"/>
    <w:rsid w:val="004C4C02"/>
    <w:rsid w:val="004C57C8"/>
    <w:rsid w:val="004C6E18"/>
    <w:rsid w:val="004C79F8"/>
    <w:rsid w:val="004D06A4"/>
    <w:rsid w:val="004D0EF4"/>
    <w:rsid w:val="004D1254"/>
    <w:rsid w:val="004D1396"/>
    <w:rsid w:val="004F04A0"/>
    <w:rsid w:val="004F562B"/>
    <w:rsid w:val="004F7985"/>
    <w:rsid w:val="00520E5E"/>
    <w:rsid w:val="0052781D"/>
    <w:rsid w:val="00535809"/>
    <w:rsid w:val="0054666E"/>
    <w:rsid w:val="00552C69"/>
    <w:rsid w:val="00553171"/>
    <w:rsid w:val="00553329"/>
    <w:rsid w:val="00557590"/>
    <w:rsid w:val="00557D95"/>
    <w:rsid w:val="00557F3C"/>
    <w:rsid w:val="00561BDE"/>
    <w:rsid w:val="00575A0F"/>
    <w:rsid w:val="005817AF"/>
    <w:rsid w:val="00587DC5"/>
    <w:rsid w:val="005A4230"/>
    <w:rsid w:val="005A666A"/>
    <w:rsid w:val="005D424B"/>
    <w:rsid w:val="005D4999"/>
    <w:rsid w:val="005E29F6"/>
    <w:rsid w:val="005E38ED"/>
    <w:rsid w:val="005E6E67"/>
    <w:rsid w:val="005F1A2A"/>
    <w:rsid w:val="005F4E1D"/>
    <w:rsid w:val="005F5977"/>
    <w:rsid w:val="005F64D2"/>
    <w:rsid w:val="005F7B4F"/>
    <w:rsid w:val="00600B47"/>
    <w:rsid w:val="00620FE2"/>
    <w:rsid w:val="006236DE"/>
    <w:rsid w:val="00625341"/>
    <w:rsid w:val="006268C2"/>
    <w:rsid w:val="00626F0D"/>
    <w:rsid w:val="006273AD"/>
    <w:rsid w:val="006414DC"/>
    <w:rsid w:val="00641CDA"/>
    <w:rsid w:val="00642F18"/>
    <w:rsid w:val="0064469E"/>
    <w:rsid w:val="006478A4"/>
    <w:rsid w:val="006508DD"/>
    <w:rsid w:val="00652421"/>
    <w:rsid w:val="006569A7"/>
    <w:rsid w:val="006612F4"/>
    <w:rsid w:val="006712C1"/>
    <w:rsid w:val="006805D9"/>
    <w:rsid w:val="00681021"/>
    <w:rsid w:val="006826BC"/>
    <w:rsid w:val="00683441"/>
    <w:rsid w:val="006956BC"/>
    <w:rsid w:val="00697085"/>
    <w:rsid w:val="006A3B13"/>
    <w:rsid w:val="006A5D65"/>
    <w:rsid w:val="006A679A"/>
    <w:rsid w:val="006A7374"/>
    <w:rsid w:val="006B1FF9"/>
    <w:rsid w:val="006B42ED"/>
    <w:rsid w:val="006C05F4"/>
    <w:rsid w:val="006C1215"/>
    <w:rsid w:val="006D7A5B"/>
    <w:rsid w:val="006E050F"/>
    <w:rsid w:val="006E40CD"/>
    <w:rsid w:val="006E4F6B"/>
    <w:rsid w:val="006E537B"/>
    <w:rsid w:val="006E6DE5"/>
    <w:rsid w:val="006F4494"/>
    <w:rsid w:val="0070169B"/>
    <w:rsid w:val="00701FF8"/>
    <w:rsid w:val="0070589C"/>
    <w:rsid w:val="0070675C"/>
    <w:rsid w:val="007143AA"/>
    <w:rsid w:val="00714472"/>
    <w:rsid w:val="00714EAF"/>
    <w:rsid w:val="00731082"/>
    <w:rsid w:val="00735EF1"/>
    <w:rsid w:val="007404B6"/>
    <w:rsid w:val="00750FEE"/>
    <w:rsid w:val="00751F6F"/>
    <w:rsid w:val="0077018A"/>
    <w:rsid w:val="00777053"/>
    <w:rsid w:val="00782E59"/>
    <w:rsid w:val="00783181"/>
    <w:rsid w:val="0078564B"/>
    <w:rsid w:val="00786918"/>
    <w:rsid w:val="007873F8"/>
    <w:rsid w:val="007876C6"/>
    <w:rsid w:val="007942A4"/>
    <w:rsid w:val="00795B25"/>
    <w:rsid w:val="007970B6"/>
    <w:rsid w:val="007A087D"/>
    <w:rsid w:val="007A3489"/>
    <w:rsid w:val="007A42B8"/>
    <w:rsid w:val="007A458E"/>
    <w:rsid w:val="007A5FF9"/>
    <w:rsid w:val="007B0DFB"/>
    <w:rsid w:val="007B1C35"/>
    <w:rsid w:val="007B36C5"/>
    <w:rsid w:val="007C070C"/>
    <w:rsid w:val="007C410F"/>
    <w:rsid w:val="007C62DF"/>
    <w:rsid w:val="007E3064"/>
    <w:rsid w:val="007F0635"/>
    <w:rsid w:val="007F2A6F"/>
    <w:rsid w:val="0080142C"/>
    <w:rsid w:val="00804D5B"/>
    <w:rsid w:val="00813F15"/>
    <w:rsid w:val="00814E33"/>
    <w:rsid w:val="0081775E"/>
    <w:rsid w:val="008258FE"/>
    <w:rsid w:val="00825C2B"/>
    <w:rsid w:val="00842B0D"/>
    <w:rsid w:val="00843425"/>
    <w:rsid w:val="0084379E"/>
    <w:rsid w:val="00845EF3"/>
    <w:rsid w:val="00846A7C"/>
    <w:rsid w:val="00846BDB"/>
    <w:rsid w:val="008471B3"/>
    <w:rsid w:val="00847438"/>
    <w:rsid w:val="008475A9"/>
    <w:rsid w:val="00850529"/>
    <w:rsid w:val="008537DD"/>
    <w:rsid w:val="00857E49"/>
    <w:rsid w:val="00871735"/>
    <w:rsid w:val="00871B68"/>
    <w:rsid w:val="00881BFC"/>
    <w:rsid w:val="0088662A"/>
    <w:rsid w:val="0088667F"/>
    <w:rsid w:val="008914E6"/>
    <w:rsid w:val="00891DB1"/>
    <w:rsid w:val="00895A5B"/>
    <w:rsid w:val="008A304A"/>
    <w:rsid w:val="008A4C0D"/>
    <w:rsid w:val="008C1435"/>
    <w:rsid w:val="008C27A1"/>
    <w:rsid w:val="008C284B"/>
    <w:rsid w:val="008C3DD6"/>
    <w:rsid w:val="008C4695"/>
    <w:rsid w:val="008C7438"/>
    <w:rsid w:val="008D3254"/>
    <w:rsid w:val="008D6A19"/>
    <w:rsid w:val="008F4998"/>
    <w:rsid w:val="00907F35"/>
    <w:rsid w:val="00912DC1"/>
    <w:rsid w:val="00916899"/>
    <w:rsid w:val="0091708E"/>
    <w:rsid w:val="00923A2B"/>
    <w:rsid w:val="00924A58"/>
    <w:rsid w:val="00932F48"/>
    <w:rsid w:val="0093707C"/>
    <w:rsid w:val="00940681"/>
    <w:rsid w:val="00941CFD"/>
    <w:rsid w:val="009438D7"/>
    <w:rsid w:val="009478C3"/>
    <w:rsid w:val="00947A47"/>
    <w:rsid w:val="00951724"/>
    <w:rsid w:val="009531F7"/>
    <w:rsid w:val="009541D3"/>
    <w:rsid w:val="00956D21"/>
    <w:rsid w:val="00961A06"/>
    <w:rsid w:val="00963E8D"/>
    <w:rsid w:val="00965560"/>
    <w:rsid w:val="00966E0B"/>
    <w:rsid w:val="00971781"/>
    <w:rsid w:val="00971CA2"/>
    <w:rsid w:val="009750DD"/>
    <w:rsid w:val="00990D1C"/>
    <w:rsid w:val="009953DC"/>
    <w:rsid w:val="009A0872"/>
    <w:rsid w:val="009A1578"/>
    <w:rsid w:val="009A49BE"/>
    <w:rsid w:val="009A7CF8"/>
    <w:rsid w:val="009C65E2"/>
    <w:rsid w:val="009C772E"/>
    <w:rsid w:val="009D2F88"/>
    <w:rsid w:val="009D66E7"/>
    <w:rsid w:val="009D7B4E"/>
    <w:rsid w:val="009E1508"/>
    <w:rsid w:val="009E1B08"/>
    <w:rsid w:val="009E300C"/>
    <w:rsid w:val="009E3234"/>
    <w:rsid w:val="009E5B5B"/>
    <w:rsid w:val="009E5CFC"/>
    <w:rsid w:val="009E7A39"/>
    <w:rsid w:val="009F251D"/>
    <w:rsid w:val="009F75E7"/>
    <w:rsid w:val="009F785D"/>
    <w:rsid w:val="00A00E4F"/>
    <w:rsid w:val="00A02263"/>
    <w:rsid w:val="00A02BE4"/>
    <w:rsid w:val="00A0304B"/>
    <w:rsid w:val="00A04ED7"/>
    <w:rsid w:val="00A06184"/>
    <w:rsid w:val="00A11D57"/>
    <w:rsid w:val="00A225F0"/>
    <w:rsid w:val="00A263E9"/>
    <w:rsid w:val="00A26835"/>
    <w:rsid w:val="00A341CE"/>
    <w:rsid w:val="00A36C75"/>
    <w:rsid w:val="00A4151D"/>
    <w:rsid w:val="00A44E2F"/>
    <w:rsid w:val="00A51BDE"/>
    <w:rsid w:val="00A523EF"/>
    <w:rsid w:val="00A53EE8"/>
    <w:rsid w:val="00A5512F"/>
    <w:rsid w:val="00A66A4B"/>
    <w:rsid w:val="00A74087"/>
    <w:rsid w:val="00A7571E"/>
    <w:rsid w:val="00A76B88"/>
    <w:rsid w:val="00A80C70"/>
    <w:rsid w:val="00A91CB7"/>
    <w:rsid w:val="00A932D1"/>
    <w:rsid w:val="00A96275"/>
    <w:rsid w:val="00AA0AE3"/>
    <w:rsid w:val="00AA7CD7"/>
    <w:rsid w:val="00AB02C9"/>
    <w:rsid w:val="00AB2617"/>
    <w:rsid w:val="00AB59F5"/>
    <w:rsid w:val="00AB7955"/>
    <w:rsid w:val="00AB7FA5"/>
    <w:rsid w:val="00AC2D84"/>
    <w:rsid w:val="00AD29AB"/>
    <w:rsid w:val="00AD51CD"/>
    <w:rsid w:val="00AE498E"/>
    <w:rsid w:val="00AE5399"/>
    <w:rsid w:val="00AE64E9"/>
    <w:rsid w:val="00AE72BD"/>
    <w:rsid w:val="00AF2FAF"/>
    <w:rsid w:val="00B00F0E"/>
    <w:rsid w:val="00B020C5"/>
    <w:rsid w:val="00B10A5C"/>
    <w:rsid w:val="00B12B60"/>
    <w:rsid w:val="00B15C89"/>
    <w:rsid w:val="00B170BA"/>
    <w:rsid w:val="00B21BA1"/>
    <w:rsid w:val="00B2648F"/>
    <w:rsid w:val="00B26A4E"/>
    <w:rsid w:val="00B32A9E"/>
    <w:rsid w:val="00B33017"/>
    <w:rsid w:val="00B33962"/>
    <w:rsid w:val="00B351BC"/>
    <w:rsid w:val="00B3590C"/>
    <w:rsid w:val="00B46C37"/>
    <w:rsid w:val="00B50E52"/>
    <w:rsid w:val="00B604CC"/>
    <w:rsid w:val="00B63311"/>
    <w:rsid w:val="00B7219E"/>
    <w:rsid w:val="00B75917"/>
    <w:rsid w:val="00B8176C"/>
    <w:rsid w:val="00B82CA6"/>
    <w:rsid w:val="00B91A2E"/>
    <w:rsid w:val="00B9615F"/>
    <w:rsid w:val="00BA2112"/>
    <w:rsid w:val="00BA446C"/>
    <w:rsid w:val="00BA723A"/>
    <w:rsid w:val="00BB01B4"/>
    <w:rsid w:val="00BB3996"/>
    <w:rsid w:val="00BC2975"/>
    <w:rsid w:val="00BD3C06"/>
    <w:rsid w:val="00BD5C7C"/>
    <w:rsid w:val="00BD6E2E"/>
    <w:rsid w:val="00BE3601"/>
    <w:rsid w:val="00BE5B7D"/>
    <w:rsid w:val="00BF17D3"/>
    <w:rsid w:val="00C0207F"/>
    <w:rsid w:val="00C04316"/>
    <w:rsid w:val="00C0478F"/>
    <w:rsid w:val="00C048CF"/>
    <w:rsid w:val="00C153EE"/>
    <w:rsid w:val="00C20F03"/>
    <w:rsid w:val="00C22AA6"/>
    <w:rsid w:val="00C260B5"/>
    <w:rsid w:val="00C27542"/>
    <w:rsid w:val="00C30A36"/>
    <w:rsid w:val="00C348C0"/>
    <w:rsid w:val="00C4541A"/>
    <w:rsid w:val="00C47951"/>
    <w:rsid w:val="00C5029A"/>
    <w:rsid w:val="00C53CEB"/>
    <w:rsid w:val="00C60C2A"/>
    <w:rsid w:val="00C66A8B"/>
    <w:rsid w:val="00C66BC4"/>
    <w:rsid w:val="00C75A49"/>
    <w:rsid w:val="00C76002"/>
    <w:rsid w:val="00C77A5C"/>
    <w:rsid w:val="00C83D26"/>
    <w:rsid w:val="00C864CC"/>
    <w:rsid w:val="00C9046B"/>
    <w:rsid w:val="00C9298E"/>
    <w:rsid w:val="00C95302"/>
    <w:rsid w:val="00C96003"/>
    <w:rsid w:val="00CA3828"/>
    <w:rsid w:val="00CB04BB"/>
    <w:rsid w:val="00CB0A95"/>
    <w:rsid w:val="00CB376A"/>
    <w:rsid w:val="00CB5055"/>
    <w:rsid w:val="00CC0CE7"/>
    <w:rsid w:val="00CC22A8"/>
    <w:rsid w:val="00CC2FF2"/>
    <w:rsid w:val="00CD53CD"/>
    <w:rsid w:val="00CE0F8F"/>
    <w:rsid w:val="00CE5532"/>
    <w:rsid w:val="00CF0504"/>
    <w:rsid w:val="00CF1A96"/>
    <w:rsid w:val="00D02441"/>
    <w:rsid w:val="00D03558"/>
    <w:rsid w:val="00D15418"/>
    <w:rsid w:val="00D201DE"/>
    <w:rsid w:val="00D221E1"/>
    <w:rsid w:val="00D22420"/>
    <w:rsid w:val="00D22DE6"/>
    <w:rsid w:val="00D23B3D"/>
    <w:rsid w:val="00D24A1E"/>
    <w:rsid w:val="00D26817"/>
    <w:rsid w:val="00D27EAA"/>
    <w:rsid w:val="00D303CD"/>
    <w:rsid w:val="00D3061A"/>
    <w:rsid w:val="00D33D64"/>
    <w:rsid w:val="00D37AB3"/>
    <w:rsid w:val="00D40E30"/>
    <w:rsid w:val="00D43C56"/>
    <w:rsid w:val="00D454CD"/>
    <w:rsid w:val="00D47DA2"/>
    <w:rsid w:val="00D526D1"/>
    <w:rsid w:val="00D52A83"/>
    <w:rsid w:val="00D548E7"/>
    <w:rsid w:val="00D55F69"/>
    <w:rsid w:val="00D63D04"/>
    <w:rsid w:val="00D64506"/>
    <w:rsid w:val="00D72051"/>
    <w:rsid w:val="00D72F41"/>
    <w:rsid w:val="00D750EF"/>
    <w:rsid w:val="00D870F6"/>
    <w:rsid w:val="00DA11E6"/>
    <w:rsid w:val="00DA6D86"/>
    <w:rsid w:val="00DA792E"/>
    <w:rsid w:val="00DB16A1"/>
    <w:rsid w:val="00DB5F47"/>
    <w:rsid w:val="00DC0214"/>
    <w:rsid w:val="00DC37CD"/>
    <w:rsid w:val="00DC3A5A"/>
    <w:rsid w:val="00DC415C"/>
    <w:rsid w:val="00DC5CCC"/>
    <w:rsid w:val="00DD07D0"/>
    <w:rsid w:val="00DD3A0E"/>
    <w:rsid w:val="00DD7206"/>
    <w:rsid w:val="00DD7F10"/>
    <w:rsid w:val="00DE0A8C"/>
    <w:rsid w:val="00DE46A4"/>
    <w:rsid w:val="00DF234F"/>
    <w:rsid w:val="00DF2AD1"/>
    <w:rsid w:val="00DF5433"/>
    <w:rsid w:val="00DF596A"/>
    <w:rsid w:val="00E00294"/>
    <w:rsid w:val="00E00932"/>
    <w:rsid w:val="00E00B3F"/>
    <w:rsid w:val="00E04BD0"/>
    <w:rsid w:val="00E06C96"/>
    <w:rsid w:val="00E1046E"/>
    <w:rsid w:val="00E1497B"/>
    <w:rsid w:val="00E15DBA"/>
    <w:rsid w:val="00E22CA1"/>
    <w:rsid w:val="00E22F98"/>
    <w:rsid w:val="00E32713"/>
    <w:rsid w:val="00E34200"/>
    <w:rsid w:val="00E37789"/>
    <w:rsid w:val="00E43C69"/>
    <w:rsid w:val="00E5068F"/>
    <w:rsid w:val="00E50DBC"/>
    <w:rsid w:val="00E529AD"/>
    <w:rsid w:val="00E53464"/>
    <w:rsid w:val="00E536CD"/>
    <w:rsid w:val="00E56BF8"/>
    <w:rsid w:val="00E74E33"/>
    <w:rsid w:val="00E83526"/>
    <w:rsid w:val="00E848A3"/>
    <w:rsid w:val="00E9216E"/>
    <w:rsid w:val="00E951A1"/>
    <w:rsid w:val="00EA3ECA"/>
    <w:rsid w:val="00EC1476"/>
    <w:rsid w:val="00EC1857"/>
    <w:rsid w:val="00EC1CAD"/>
    <w:rsid w:val="00EC351F"/>
    <w:rsid w:val="00EC5411"/>
    <w:rsid w:val="00EE2151"/>
    <w:rsid w:val="00EE5275"/>
    <w:rsid w:val="00EE56C6"/>
    <w:rsid w:val="00EE6495"/>
    <w:rsid w:val="00EE73FC"/>
    <w:rsid w:val="00EF0C46"/>
    <w:rsid w:val="00EF0DCB"/>
    <w:rsid w:val="00F05072"/>
    <w:rsid w:val="00F1183B"/>
    <w:rsid w:val="00F129A8"/>
    <w:rsid w:val="00F129BC"/>
    <w:rsid w:val="00F220CC"/>
    <w:rsid w:val="00F25E50"/>
    <w:rsid w:val="00F47E69"/>
    <w:rsid w:val="00F5760B"/>
    <w:rsid w:val="00F65A99"/>
    <w:rsid w:val="00F7749F"/>
    <w:rsid w:val="00F91458"/>
    <w:rsid w:val="00F965B3"/>
    <w:rsid w:val="00F97BF7"/>
    <w:rsid w:val="00FB3BD6"/>
    <w:rsid w:val="00FC04ED"/>
    <w:rsid w:val="00FC23C5"/>
    <w:rsid w:val="00FC3C95"/>
    <w:rsid w:val="00FC476B"/>
    <w:rsid w:val="00FD1201"/>
    <w:rsid w:val="00FD3344"/>
    <w:rsid w:val="00FD7671"/>
    <w:rsid w:val="00FE3BC0"/>
    <w:rsid w:val="00FE475A"/>
    <w:rsid w:val="00FE4BA2"/>
    <w:rsid w:val="00FE672A"/>
    <w:rsid w:val="00FF0203"/>
    <w:rsid w:val="00FF7386"/>
    <w:rsid w:val="0113453A"/>
    <w:rsid w:val="01792507"/>
    <w:rsid w:val="01821D95"/>
    <w:rsid w:val="01C15278"/>
    <w:rsid w:val="021E2425"/>
    <w:rsid w:val="0228443F"/>
    <w:rsid w:val="022A1A4A"/>
    <w:rsid w:val="023302FD"/>
    <w:rsid w:val="02395881"/>
    <w:rsid w:val="02643156"/>
    <w:rsid w:val="02656E2D"/>
    <w:rsid w:val="028B2753"/>
    <w:rsid w:val="02BD5A2C"/>
    <w:rsid w:val="02DF70B1"/>
    <w:rsid w:val="02E66EDC"/>
    <w:rsid w:val="02F52AE5"/>
    <w:rsid w:val="034F7F94"/>
    <w:rsid w:val="036415FE"/>
    <w:rsid w:val="03994C82"/>
    <w:rsid w:val="03AE06F4"/>
    <w:rsid w:val="03C25E88"/>
    <w:rsid w:val="04253249"/>
    <w:rsid w:val="04A2484B"/>
    <w:rsid w:val="04C00F9F"/>
    <w:rsid w:val="04D74871"/>
    <w:rsid w:val="04F7314B"/>
    <w:rsid w:val="0501278D"/>
    <w:rsid w:val="050567E7"/>
    <w:rsid w:val="057A44B2"/>
    <w:rsid w:val="058854E4"/>
    <w:rsid w:val="0596603B"/>
    <w:rsid w:val="05E20B87"/>
    <w:rsid w:val="061A1239"/>
    <w:rsid w:val="062139E4"/>
    <w:rsid w:val="062A20E5"/>
    <w:rsid w:val="065A4BB3"/>
    <w:rsid w:val="06DD0E99"/>
    <w:rsid w:val="06F40A3D"/>
    <w:rsid w:val="06FE3AA7"/>
    <w:rsid w:val="07650CE2"/>
    <w:rsid w:val="076C3ABE"/>
    <w:rsid w:val="077238B4"/>
    <w:rsid w:val="079732BF"/>
    <w:rsid w:val="0797380F"/>
    <w:rsid w:val="079E53D5"/>
    <w:rsid w:val="07AA2E3D"/>
    <w:rsid w:val="07CA2C9C"/>
    <w:rsid w:val="07EB033E"/>
    <w:rsid w:val="0879646E"/>
    <w:rsid w:val="08D927BD"/>
    <w:rsid w:val="09477770"/>
    <w:rsid w:val="099B1F4A"/>
    <w:rsid w:val="09C22DB5"/>
    <w:rsid w:val="09CB4CD3"/>
    <w:rsid w:val="09D65901"/>
    <w:rsid w:val="0A061663"/>
    <w:rsid w:val="0A071A67"/>
    <w:rsid w:val="0A2261C8"/>
    <w:rsid w:val="0A36001A"/>
    <w:rsid w:val="0A491230"/>
    <w:rsid w:val="0AB63E93"/>
    <w:rsid w:val="0ABF29B3"/>
    <w:rsid w:val="0ACC6DC4"/>
    <w:rsid w:val="0B3B416E"/>
    <w:rsid w:val="0B4F26A1"/>
    <w:rsid w:val="0B684398"/>
    <w:rsid w:val="0BA044BA"/>
    <w:rsid w:val="0BA13222"/>
    <w:rsid w:val="0C053EF8"/>
    <w:rsid w:val="0C1B38A7"/>
    <w:rsid w:val="0C223FEC"/>
    <w:rsid w:val="0C407CB0"/>
    <w:rsid w:val="0C4E2419"/>
    <w:rsid w:val="0C77399F"/>
    <w:rsid w:val="0C87456E"/>
    <w:rsid w:val="0CB5220D"/>
    <w:rsid w:val="0CEC5091"/>
    <w:rsid w:val="0D072848"/>
    <w:rsid w:val="0D177598"/>
    <w:rsid w:val="0D1C37CD"/>
    <w:rsid w:val="0D343BDE"/>
    <w:rsid w:val="0D45111D"/>
    <w:rsid w:val="0D4B0338"/>
    <w:rsid w:val="0D7E2862"/>
    <w:rsid w:val="0D8F6498"/>
    <w:rsid w:val="0D907195"/>
    <w:rsid w:val="0DB84B01"/>
    <w:rsid w:val="0DC65A5A"/>
    <w:rsid w:val="0DD15270"/>
    <w:rsid w:val="0DF0139E"/>
    <w:rsid w:val="0E1F632A"/>
    <w:rsid w:val="0E52114C"/>
    <w:rsid w:val="0E524528"/>
    <w:rsid w:val="0E58221B"/>
    <w:rsid w:val="0E5D4D25"/>
    <w:rsid w:val="0E790F75"/>
    <w:rsid w:val="0E7A6748"/>
    <w:rsid w:val="0EB21332"/>
    <w:rsid w:val="0EB36CFA"/>
    <w:rsid w:val="0EE14BBE"/>
    <w:rsid w:val="0F07055B"/>
    <w:rsid w:val="0F7D6842"/>
    <w:rsid w:val="0FB51DBE"/>
    <w:rsid w:val="0FC27127"/>
    <w:rsid w:val="0FC838C9"/>
    <w:rsid w:val="0FED7166"/>
    <w:rsid w:val="10101FB2"/>
    <w:rsid w:val="102B40E1"/>
    <w:rsid w:val="10371371"/>
    <w:rsid w:val="104C50C5"/>
    <w:rsid w:val="106317C1"/>
    <w:rsid w:val="10784272"/>
    <w:rsid w:val="108F74BE"/>
    <w:rsid w:val="1094439E"/>
    <w:rsid w:val="109C5411"/>
    <w:rsid w:val="10B50755"/>
    <w:rsid w:val="10DE0A29"/>
    <w:rsid w:val="11C730CC"/>
    <w:rsid w:val="11CD4CB0"/>
    <w:rsid w:val="11EF510C"/>
    <w:rsid w:val="122437DA"/>
    <w:rsid w:val="12CB3CD9"/>
    <w:rsid w:val="12F130BA"/>
    <w:rsid w:val="13070114"/>
    <w:rsid w:val="131831A4"/>
    <w:rsid w:val="131866F7"/>
    <w:rsid w:val="132C03AF"/>
    <w:rsid w:val="135263CE"/>
    <w:rsid w:val="13597ABA"/>
    <w:rsid w:val="13952595"/>
    <w:rsid w:val="13C81420"/>
    <w:rsid w:val="13DE6355"/>
    <w:rsid w:val="13E04FB9"/>
    <w:rsid w:val="13F81858"/>
    <w:rsid w:val="14037BB7"/>
    <w:rsid w:val="14373FAD"/>
    <w:rsid w:val="144441A6"/>
    <w:rsid w:val="14BE07D2"/>
    <w:rsid w:val="14D75020"/>
    <w:rsid w:val="14D77920"/>
    <w:rsid w:val="14E67AC8"/>
    <w:rsid w:val="15292F6E"/>
    <w:rsid w:val="15894DBF"/>
    <w:rsid w:val="15B430B6"/>
    <w:rsid w:val="15C34280"/>
    <w:rsid w:val="163E6B03"/>
    <w:rsid w:val="16552389"/>
    <w:rsid w:val="16747AFF"/>
    <w:rsid w:val="168F117E"/>
    <w:rsid w:val="1714567B"/>
    <w:rsid w:val="171B5DE1"/>
    <w:rsid w:val="172E3C79"/>
    <w:rsid w:val="175022A5"/>
    <w:rsid w:val="176B01F5"/>
    <w:rsid w:val="17760BFE"/>
    <w:rsid w:val="17A67364"/>
    <w:rsid w:val="17C17B9D"/>
    <w:rsid w:val="17EF331D"/>
    <w:rsid w:val="180178CB"/>
    <w:rsid w:val="18100BDE"/>
    <w:rsid w:val="182138BF"/>
    <w:rsid w:val="182B2DAD"/>
    <w:rsid w:val="184934E5"/>
    <w:rsid w:val="184C14A9"/>
    <w:rsid w:val="18527171"/>
    <w:rsid w:val="18E3184E"/>
    <w:rsid w:val="18E54397"/>
    <w:rsid w:val="18EC2445"/>
    <w:rsid w:val="190240A6"/>
    <w:rsid w:val="190A5947"/>
    <w:rsid w:val="19314637"/>
    <w:rsid w:val="194719A0"/>
    <w:rsid w:val="19641FFA"/>
    <w:rsid w:val="19693A32"/>
    <w:rsid w:val="19CD2415"/>
    <w:rsid w:val="19E86C3B"/>
    <w:rsid w:val="1A0E2B04"/>
    <w:rsid w:val="1A3845F9"/>
    <w:rsid w:val="1A6C5675"/>
    <w:rsid w:val="1A747420"/>
    <w:rsid w:val="1A942CAE"/>
    <w:rsid w:val="1A994CBA"/>
    <w:rsid w:val="1AAF7856"/>
    <w:rsid w:val="1AB16152"/>
    <w:rsid w:val="1ABE6B36"/>
    <w:rsid w:val="1AD360F4"/>
    <w:rsid w:val="1B1B71AE"/>
    <w:rsid w:val="1B3358E7"/>
    <w:rsid w:val="1B465B0C"/>
    <w:rsid w:val="1B573E34"/>
    <w:rsid w:val="1B977992"/>
    <w:rsid w:val="1BB26564"/>
    <w:rsid w:val="1C201606"/>
    <w:rsid w:val="1C70123F"/>
    <w:rsid w:val="1C7A4AF5"/>
    <w:rsid w:val="1C9F4D8E"/>
    <w:rsid w:val="1CAC707D"/>
    <w:rsid w:val="1CB04B56"/>
    <w:rsid w:val="1CB26DC4"/>
    <w:rsid w:val="1CB52760"/>
    <w:rsid w:val="1CB76E23"/>
    <w:rsid w:val="1CC822D0"/>
    <w:rsid w:val="1CCE2331"/>
    <w:rsid w:val="1CDE0541"/>
    <w:rsid w:val="1D0C087C"/>
    <w:rsid w:val="1D1A48F5"/>
    <w:rsid w:val="1D1C1479"/>
    <w:rsid w:val="1D2C17C8"/>
    <w:rsid w:val="1D3B76EC"/>
    <w:rsid w:val="1D482C9B"/>
    <w:rsid w:val="1D632A8F"/>
    <w:rsid w:val="1D794065"/>
    <w:rsid w:val="1D7D0CEB"/>
    <w:rsid w:val="1D840658"/>
    <w:rsid w:val="1DA86AD3"/>
    <w:rsid w:val="1DD65E1D"/>
    <w:rsid w:val="1DEC441E"/>
    <w:rsid w:val="1E2223DD"/>
    <w:rsid w:val="1E2861E3"/>
    <w:rsid w:val="1E2C6AF2"/>
    <w:rsid w:val="1E3D1BB7"/>
    <w:rsid w:val="1E844701"/>
    <w:rsid w:val="1ED42E47"/>
    <w:rsid w:val="1ED716BC"/>
    <w:rsid w:val="1F335716"/>
    <w:rsid w:val="1F41764E"/>
    <w:rsid w:val="1F572E39"/>
    <w:rsid w:val="1F62518B"/>
    <w:rsid w:val="1F7347C4"/>
    <w:rsid w:val="1F9F283D"/>
    <w:rsid w:val="1FB27650"/>
    <w:rsid w:val="1FB36856"/>
    <w:rsid w:val="1FCE6B8C"/>
    <w:rsid w:val="1FED3F87"/>
    <w:rsid w:val="20223FAF"/>
    <w:rsid w:val="202B4734"/>
    <w:rsid w:val="204658AF"/>
    <w:rsid w:val="2059498F"/>
    <w:rsid w:val="206C484B"/>
    <w:rsid w:val="20997116"/>
    <w:rsid w:val="20B87907"/>
    <w:rsid w:val="20CB7836"/>
    <w:rsid w:val="20F20702"/>
    <w:rsid w:val="210511DA"/>
    <w:rsid w:val="22082735"/>
    <w:rsid w:val="221D6D75"/>
    <w:rsid w:val="22226D1C"/>
    <w:rsid w:val="2239454D"/>
    <w:rsid w:val="22424DB1"/>
    <w:rsid w:val="22573E5F"/>
    <w:rsid w:val="226B16FE"/>
    <w:rsid w:val="2279253C"/>
    <w:rsid w:val="22C64B42"/>
    <w:rsid w:val="22E90C6E"/>
    <w:rsid w:val="23DE58FA"/>
    <w:rsid w:val="23FB7713"/>
    <w:rsid w:val="242A3F97"/>
    <w:rsid w:val="243310C1"/>
    <w:rsid w:val="245D5EE8"/>
    <w:rsid w:val="248930A5"/>
    <w:rsid w:val="250B40F9"/>
    <w:rsid w:val="251E5997"/>
    <w:rsid w:val="2520459D"/>
    <w:rsid w:val="253975ED"/>
    <w:rsid w:val="255E0DA3"/>
    <w:rsid w:val="258D08D2"/>
    <w:rsid w:val="259F2735"/>
    <w:rsid w:val="25E455D7"/>
    <w:rsid w:val="25F91D25"/>
    <w:rsid w:val="261401A1"/>
    <w:rsid w:val="2675407A"/>
    <w:rsid w:val="26A32A46"/>
    <w:rsid w:val="26B142DE"/>
    <w:rsid w:val="26CB55D5"/>
    <w:rsid w:val="270119B4"/>
    <w:rsid w:val="270E5CD2"/>
    <w:rsid w:val="271307F2"/>
    <w:rsid w:val="27253CD1"/>
    <w:rsid w:val="27794B17"/>
    <w:rsid w:val="277B492C"/>
    <w:rsid w:val="2786337A"/>
    <w:rsid w:val="27C80920"/>
    <w:rsid w:val="27CA4D4E"/>
    <w:rsid w:val="27E85555"/>
    <w:rsid w:val="27EF0ABA"/>
    <w:rsid w:val="284A51D9"/>
    <w:rsid w:val="287B7767"/>
    <w:rsid w:val="28A71F6F"/>
    <w:rsid w:val="28DB523A"/>
    <w:rsid w:val="28F87088"/>
    <w:rsid w:val="29314954"/>
    <w:rsid w:val="29322252"/>
    <w:rsid w:val="29393D17"/>
    <w:rsid w:val="293B71AF"/>
    <w:rsid w:val="29614416"/>
    <w:rsid w:val="296D24EC"/>
    <w:rsid w:val="29733B0E"/>
    <w:rsid w:val="298958E9"/>
    <w:rsid w:val="29A0052C"/>
    <w:rsid w:val="2A0664D3"/>
    <w:rsid w:val="2A116792"/>
    <w:rsid w:val="2A922533"/>
    <w:rsid w:val="2A9F7D49"/>
    <w:rsid w:val="2AA075F4"/>
    <w:rsid w:val="2AA25464"/>
    <w:rsid w:val="2AC13379"/>
    <w:rsid w:val="2B1843E1"/>
    <w:rsid w:val="2B411B30"/>
    <w:rsid w:val="2B755CD0"/>
    <w:rsid w:val="2B7B1A2B"/>
    <w:rsid w:val="2BC162C3"/>
    <w:rsid w:val="2BC505CD"/>
    <w:rsid w:val="2BDA792E"/>
    <w:rsid w:val="2BE52012"/>
    <w:rsid w:val="2C367088"/>
    <w:rsid w:val="2C48699E"/>
    <w:rsid w:val="2C4A40D9"/>
    <w:rsid w:val="2CAD3148"/>
    <w:rsid w:val="2CBA51DF"/>
    <w:rsid w:val="2CC430CD"/>
    <w:rsid w:val="2CFB3370"/>
    <w:rsid w:val="2D181D9A"/>
    <w:rsid w:val="2D380040"/>
    <w:rsid w:val="2D4D10C1"/>
    <w:rsid w:val="2DAC5DE3"/>
    <w:rsid w:val="2E246D9C"/>
    <w:rsid w:val="2E585AF9"/>
    <w:rsid w:val="2E77626D"/>
    <w:rsid w:val="2E876180"/>
    <w:rsid w:val="2EC7412B"/>
    <w:rsid w:val="2EC979A5"/>
    <w:rsid w:val="2EEB4C36"/>
    <w:rsid w:val="2F08360C"/>
    <w:rsid w:val="2F263D62"/>
    <w:rsid w:val="2F8E5BA0"/>
    <w:rsid w:val="2FB669B0"/>
    <w:rsid w:val="2FCE7A9D"/>
    <w:rsid w:val="302D4AB4"/>
    <w:rsid w:val="303A516F"/>
    <w:rsid w:val="30566A86"/>
    <w:rsid w:val="30A21ACB"/>
    <w:rsid w:val="30C523C8"/>
    <w:rsid w:val="30D33C2F"/>
    <w:rsid w:val="30E26189"/>
    <w:rsid w:val="310E5409"/>
    <w:rsid w:val="310E72E0"/>
    <w:rsid w:val="31221726"/>
    <w:rsid w:val="312C4D7E"/>
    <w:rsid w:val="31771832"/>
    <w:rsid w:val="318509EC"/>
    <w:rsid w:val="318F2F9C"/>
    <w:rsid w:val="31AE1997"/>
    <w:rsid w:val="31C21F61"/>
    <w:rsid w:val="32034B0B"/>
    <w:rsid w:val="321A43EB"/>
    <w:rsid w:val="32D451A3"/>
    <w:rsid w:val="32DD781D"/>
    <w:rsid w:val="32E05A7A"/>
    <w:rsid w:val="32FC1245"/>
    <w:rsid w:val="33641229"/>
    <w:rsid w:val="33A95804"/>
    <w:rsid w:val="341B2A77"/>
    <w:rsid w:val="34423A30"/>
    <w:rsid w:val="3444457A"/>
    <w:rsid w:val="34E04D7C"/>
    <w:rsid w:val="3504716B"/>
    <w:rsid w:val="35081113"/>
    <w:rsid w:val="353C31BD"/>
    <w:rsid w:val="35571211"/>
    <w:rsid w:val="356A5F79"/>
    <w:rsid w:val="35AE0D67"/>
    <w:rsid w:val="35E64C14"/>
    <w:rsid w:val="360B2CCB"/>
    <w:rsid w:val="36133ECD"/>
    <w:rsid w:val="364F5ECC"/>
    <w:rsid w:val="367546F0"/>
    <w:rsid w:val="367A5412"/>
    <w:rsid w:val="368012AB"/>
    <w:rsid w:val="36C84D9C"/>
    <w:rsid w:val="36D33BDC"/>
    <w:rsid w:val="36EF725D"/>
    <w:rsid w:val="373755E3"/>
    <w:rsid w:val="376F64B1"/>
    <w:rsid w:val="37831BD8"/>
    <w:rsid w:val="37C45B57"/>
    <w:rsid w:val="37C50026"/>
    <w:rsid w:val="37CA765A"/>
    <w:rsid w:val="38061396"/>
    <w:rsid w:val="380A3C1D"/>
    <w:rsid w:val="384338C4"/>
    <w:rsid w:val="387C4E71"/>
    <w:rsid w:val="38AC1C52"/>
    <w:rsid w:val="38EE22D3"/>
    <w:rsid w:val="39704E34"/>
    <w:rsid w:val="398E5F6F"/>
    <w:rsid w:val="39AA6B75"/>
    <w:rsid w:val="39B71533"/>
    <w:rsid w:val="39C15E96"/>
    <w:rsid w:val="39DF3B0E"/>
    <w:rsid w:val="3A013C75"/>
    <w:rsid w:val="3A281DB8"/>
    <w:rsid w:val="3A36151F"/>
    <w:rsid w:val="3A3D1A90"/>
    <w:rsid w:val="3A3F2E08"/>
    <w:rsid w:val="3A4C228F"/>
    <w:rsid w:val="3A657969"/>
    <w:rsid w:val="3A7A2773"/>
    <w:rsid w:val="3AAB3210"/>
    <w:rsid w:val="3B286716"/>
    <w:rsid w:val="3B347781"/>
    <w:rsid w:val="3B4D64F0"/>
    <w:rsid w:val="3B60141D"/>
    <w:rsid w:val="3B791E49"/>
    <w:rsid w:val="3BC92AC1"/>
    <w:rsid w:val="3BE56B2D"/>
    <w:rsid w:val="3BE713A0"/>
    <w:rsid w:val="3BF51AE6"/>
    <w:rsid w:val="3BFA2FB2"/>
    <w:rsid w:val="3C0D387D"/>
    <w:rsid w:val="3C44505B"/>
    <w:rsid w:val="3C536A58"/>
    <w:rsid w:val="3C63276A"/>
    <w:rsid w:val="3C6D4AAC"/>
    <w:rsid w:val="3CB178DA"/>
    <w:rsid w:val="3CCB4C75"/>
    <w:rsid w:val="3DCA7396"/>
    <w:rsid w:val="3DE4643F"/>
    <w:rsid w:val="3DFA47F4"/>
    <w:rsid w:val="3DFC3C6E"/>
    <w:rsid w:val="3E264DDF"/>
    <w:rsid w:val="3E290E33"/>
    <w:rsid w:val="3E37188B"/>
    <w:rsid w:val="3E407145"/>
    <w:rsid w:val="3E46739D"/>
    <w:rsid w:val="3EB7409F"/>
    <w:rsid w:val="3EC16481"/>
    <w:rsid w:val="3EE0282A"/>
    <w:rsid w:val="3EF01835"/>
    <w:rsid w:val="3EF740F6"/>
    <w:rsid w:val="3F0F7076"/>
    <w:rsid w:val="3F1514E3"/>
    <w:rsid w:val="3F23252A"/>
    <w:rsid w:val="3F7E2D38"/>
    <w:rsid w:val="401052B0"/>
    <w:rsid w:val="40355CB1"/>
    <w:rsid w:val="406F48AD"/>
    <w:rsid w:val="407545E5"/>
    <w:rsid w:val="40AA18DC"/>
    <w:rsid w:val="40B054EA"/>
    <w:rsid w:val="40EA3AD4"/>
    <w:rsid w:val="41051E71"/>
    <w:rsid w:val="410C32B7"/>
    <w:rsid w:val="418908E7"/>
    <w:rsid w:val="41CC723D"/>
    <w:rsid w:val="41FA5330"/>
    <w:rsid w:val="423B3E01"/>
    <w:rsid w:val="423F3A6A"/>
    <w:rsid w:val="429052CA"/>
    <w:rsid w:val="42B93610"/>
    <w:rsid w:val="42D057E7"/>
    <w:rsid w:val="42D605C0"/>
    <w:rsid w:val="42E13572"/>
    <w:rsid w:val="43034867"/>
    <w:rsid w:val="43251999"/>
    <w:rsid w:val="438536BE"/>
    <w:rsid w:val="43CB0D16"/>
    <w:rsid w:val="44000D08"/>
    <w:rsid w:val="44156CC9"/>
    <w:rsid w:val="44256367"/>
    <w:rsid w:val="4452118D"/>
    <w:rsid w:val="449045B1"/>
    <w:rsid w:val="44983EE9"/>
    <w:rsid w:val="44A77F73"/>
    <w:rsid w:val="44F14F71"/>
    <w:rsid w:val="44FA0E57"/>
    <w:rsid w:val="44FB3359"/>
    <w:rsid w:val="450075E9"/>
    <w:rsid w:val="45051B68"/>
    <w:rsid w:val="45221A4E"/>
    <w:rsid w:val="45581D67"/>
    <w:rsid w:val="45734469"/>
    <w:rsid w:val="45B82857"/>
    <w:rsid w:val="45D17B09"/>
    <w:rsid w:val="45E55D70"/>
    <w:rsid w:val="464259BF"/>
    <w:rsid w:val="465538F4"/>
    <w:rsid w:val="465F51DE"/>
    <w:rsid w:val="46A32A28"/>
    <w:rsid w:val="46D67A06"/>
    <w:rsid w:val="46DD70ED"/>
    <w:rsid w:val="46E46F58"/>
    <w:rsid w:val="470451A6"/>
    <w:rsid w:val="471D19ED"/>
    <w:rsid w:val="47395AD8"/>
    <w:rsid w:val="476A4346"/>
    <w:rsid w:val="47BC043C"/>
    <w:rsid w:val="47E92569"/>
    <w:rsid w:val="47FE51EA"/>
    <w:rsid w:val="480D1E22"/>
    <w:rsid w:val="48147B52"/>
    <w:rsid w:val="48267F45"/>
    <w:rsid w:val="48330307"/>
    <w:rsid w:val="48661C7F"/>
    <w:rsid w:val="48904514"/>
    <w:rsid w:val="48934824"/>
    <w:rsid w:val="48A11219"/>
    <w:rsid w:val="48AE2B83"/>
    <w:rsid w:val="48B72DC6"/>
    <w:rsid w:val="49076DEC"/>
    <w:rsid w:val="491119E0"/>
    <w:rsid w:val="493837AF"/>
    <w:rsid w:val="494E7048"/>
    <w:rsid w:val="4965349F"/>
    <w:rsid w:val="496642D4"/>
    <w:rsid w:val="4968221D"/>
    <w:rsid w:val="49B80C1F"/>
    <w:rsid w:val="49D33E49"/>
    <w:rsid w:val="49ED10C0"/>
    <w:rsid w:val="4A300C8B"/>
    <w:rsid w:val="4A7044AC"/>
    <w:rsid w:val="4A8D4A57"/>
    <w:rsid w:val="4AC75610"/>
    <w:rsid w:val="4AFA5E5E"/>
    <w:rsid w:val="4B1F13A8"/>
    <w:rsid w:val="4B2E337D"/>
    <w:rsid w:val="4B6D7221"/>
    <w:rsid w:val="4BB8240D"/>
    <w:rsid w:val="4BDF4966"/>
    <w:rsid w:val="4BDF7036"/>
    <w:rsid w:val="4BE22981"/>
    <w:rsid w:val="4BF35E83"/>
    <w:rsid w:val="4C7F7DB3"/>
    <w:rsid w:val="4CF211D9"/>
    <w:rsid w:val="4CF47D66"/>
    <w:rsid w:val="4D1A06F2"/>
    <w:rsid w:val="4D2D0E1B"/>
    <w:rsid w:val="4D4C5386"/>
    <w:rsid w:val="4D712234"/>
    <w:rsid w:val="4D7C4ACE"/>
    <w:rsid w:val="4D934154"/>
    <w:rsid w:val="4DC26DA7"/>
    <w:rsid w:val="4E06683F"/>
    <w:rsid w:val="4E664761"/>
    <w:rsid w:val="4E744919"/>
    <w:rsid w:val="4E831E82"/>
    <w:rsid w:val="4EB265F6"/>
    <w:rsid w:val="4EC2067F"/>
    <w:rsid w:val="4EDA20AC"/>
    <w:rsid w:val="4F482A5C"/>
    <w:rsid w:val="4F8D7D2B"/>
    <w:rsid w:val="50345968"/>
    <w:rsid w:val="50610DF9"/>
    <w:rsid w:val="50C22E54"/>
    <w:rsid w:val="50E53DB8"/>
    <w:rsid w:val="50E94C39"/>
    <w:rsid w:val="511144BD"/>
    <w:rsid w:val="51304B3A"/>
    <w:rsid w:val="51312B85"/>
    <w:rsid w:val="51367DE2"/>
    <w:rsid w:val="516470D8"/>
    <w:rsid w:val="5174751D"/>
    <w:rsid w:val="51B54349"/>
    <w:rsid w:val="51E0655A"/>
    <w:rsid w:val="51F57554"/>
    <w:rsid w:val="5266189A"/>
    <w:rsid w:val="52C202F7"/>
    <w:rsid w:val="52CB5FC5"/>
    <w:rsid w:val="52E95E91"/>
    <w:rsid w:val="536F16E3"/>
    <w:rsid w:val="53BA2AF9"/>
    <w:rsid w:val="53F84CB8"/>
    <w:rsid w:val="542555BF"/>
    <w:rsid w:val="546F07EE"/>
    <w:rsid w:val="54D156B1"/>
    <w:rsid w:val="54D7211A"/>
    <w:rsid w:val="550129E6"/>
    <w:rsid w:val="55404D68"/>
    <w:rsid w:val="556C0015"/>
    <w:rsid w:val="55D55FD2"/>
    <w:rsid w:val="56054881"/>
    <w:rsid w:val="56C10A9C"/>
    <w:rsid w:val="56F6499F"/>
    <w:rsid w:val="571853CA"/>
    <w:rsid w:val="57AD650A"/>
    <w:rsid w:val="5855201B"/>
    <w:rsid w:val="588401C1"/>
    <w:rsid w:val="58976B61"/>
    <w:rsid w:val="58A26818"/>
    <w:rsid w:val="58B31663"/>
    <w:rsid w:val="58CD7A90"/>
    <w:rsid w:val="58E93E9C"/>
    <w:rsid w:val="59444E15"/>
    <w:rsid w:val="594643A8"/>
    <w:rsid w:val="59B96145"/>
    <w:rsid w:val="59CA16A8"/>
    <w:rsid w:val="59DE0E45"/>
    <w:rsid w:val="5A0B1665"/>
    <w:rsid w:val="5A11719C"/>
    <w:rsid w:val="5A213E6A"/>
    <w:rsid w:val="5A780A68"/>
    <w:rsid w:val="5A8D2B90"/>
    <w:rsid w:val="5AA543AB"/>
    <w:rsid w:val="5AB454E6"/>
    <w:rsid w:val="5AD754BF"/>
    <w:rsid w:val="5AE43832"/>
    <w:rsid w:val="5B1A2D70"/>
    <w:rsid w:val="5B32689A"/>
    <w:rsid w:val="5B902C58"/>
    <w:rsid w:val="5BFB5545"/>
    <w:rsid w:val="5BFB6C39"/>
    <w:rsid w:val="5C4F713E"/>
    <w:rsid w:val="5CA8493D"/>
    <w:rsid w:val="5CAC389A"/>
    <w:rsid w:val="5CC0470A"/>
    <w:rsid w:val="5CEF2C63"/>
    <w:rsid w:val="5D4704A8"/>
    <w:rsid w:val="5DAE6491"/>
    <w:rsid w:val="5DB16156"/>
    <w:rsid w:val="5DED48F7"/>
    <w:rsid w:val="5E2A7BFC"/>
    <w:rsid w:val="5E31019C"/>
    <w:rsid w:val="5E7C10F6"/>
    <w:rsid w:val="5F0F406E"/>
    <w:rsid w:val="5F2B2A0E"/>
    <w:rsid w:val="5F431B9E"/>
    <w:rsid w:val="5F806BA1"/>
    <w:rsid w:val="5FA32078"/>
    <w:rsid w:val="5FBD7017"/>
    <w:rsid w:val="5FDA3A61"/>
    <w:rsid w:val="5FDA7F27"/>
    <w:rsid w:val="5FE230B4"/>
    <w:rsid w:val="5FF22A4E"/>
    <w:rsid w:val="5FFF1B38"/>
    <w:rsid w:val="60177843"/>
    <w:rsid w:val="60272D57"/>
    <w:rsid w:val="605D5B07"/>
    <w:rsid w:val="60674F44"/>
    <w:rsid w:val="60821DA6"/>
    <w:rsid w:val="60E2435B"/>
    <w:rsid w:val="60F962CE"/>
    <w:rsid w:val="61054C76"/>
    <w:rsid w:val="61282FEB"/>
    <w:rsid w:val="61557E1E"/>
    <w:rsid w:val="6196175A"/>
    <w:rsid w:val="61982500"/>
    <w:rsid w:val="619A6BC6"/>
    <w:rsid w:val="61DB3794"/>
    <w:rsid w:val="61DF61C0"/>
    <w:rsid w:val="621B3003"/>
    <w:rsid w:val="6247179D"/>
    <w:rsid w:val="624B3BC8"/>
    <w:rsid w:val="62631B73"/>
    <w:rsid w:val="62722830"/>
    <w:rsid w:val="62907ADC"/>
    <w:rsid w:val="62AD5079"/>
    <w:rsid w:val="62AD61FC"/>
    <w:rsid w:val="62AD7A24"/>
    <w:rsid w:val="62BB0C93"/>
    <w:rsid w:val="632E07D7"/>
    <w:rsid w:val="63456025"/>
    <w:rsid w:val="636C061A"/>
    <w:rsid w:val="638038A1"/>
    <w:rsid w:val="63950545"/>
    <w:rsid w:val="639A13ED"/>
    <w:rsid w:val="63B6348B"/>
    <w:rsid w:val="63CE756A"/>
    <w:rsid w:val="640F578B"/>
    <w:rsid w:val="6425294F"/>
    <w:rsid w:val="643E706B"/>
    <w:rsid w:val="64B132D2"/>
    <w:rsid w:val="64DC1B0C"/>
    <w:rsid w:val="65010236"/>
    <w:rsid w:val="65474718"/>
    <w:rsid w:val="6569427D"/>
    <w:rsid w:val="65AD3867"/>
    <w:rsid w:val="65B65230"/>
    <w:rsid w:val="65C81859"/>
    <w:rsid w:val="66635E1A"/>
    <w:rsid w:val="66C2099B"/>
    <w:rsid w:val="66D052BC"/>
    <w:rsid w:val="66D16C1C"/>
    <w:rsid w:val="66FD7581"/>
    <w:rsid w:val="66FE3A0E"/>
    <w:rsid w:val="6728143F"/>
    <w:rsid w:val="673B21E0"/>
    <w:rsid w:val="67556FB4"/>
    <w:rsid w:val="675F78CD"/>
    <w:rsid w:val="67863254"/>
    <w:rsid w:val="67A17BA5"/>
    <w:rsid w:val="67BC1999"/>
    <w:rsid w:val="67C72F8F"/>
    <w:rsid w:val="68057F0D"/>
    <w:rsid w:val="68371E2A"/>
    <w:rsid w:val="68452725"/>
    <w:rsid w:val="687F502A"/>
    <w:rsid w:val="6942069D"/>
    <w:rsid w:val="69440EA7"/>
    <w:rsid w:val="69457CCC"/>
    <w:rsid w:val="69B47902"/>
    <w:rsid w:val="69F1261B"/>
    <w:rsid w:val="69F65EA0"/>
    <w:rsid w:val="6A11037A"/>
    <w:rsid w:val="6A1E5B4F"/>
    <w:rsid w:val="6A45094B"/>
    <w:rsid w:val="6A554D5A"/>
    <w:rsid w:val="6A7203FE"/>
    <w:rsid w:val="6ADC08B3"/>
    <w:rsid w:val="6B1E56E5"/>
    <w:rsid w:val="6B284D45"/>
    <w:rsid w:val="6B6D0C17"/>
    <w:rsid w:val="6B72724A"/>
    <w:rsid w:val="6BAE6BEA"/>
    <w:rsid w:val="6BB62302"/>
    <w:rsid w:val="6C363042"/>
    <w:rsid w:val="6C951A72"/>
    <w:rsid w:val="6CC22BEB"/>
    <w:rsid w:val="6CCD32DA"/>
    <w:rsid w:val="6CE04447"/>
    <w:rsid w:val="6D2C1177"/>
    <w:rsid w:val="6D4D68EB"/>
    <w:rsid w:val="6D517F1C"/>
    <w:rsid w:val="6D886E13"/>
    <w:rsid w:val="6E074FEF"/>
    <w:rsid w:val="6E1C7811"/>
    <w:rsid w:val="6E242555"/>
    <w:rsid w:val="6E747902"/>
    <w:rsid w:val="6E7A1CE9"/>
    <w:rsid w:val="6E8F2382"/>
    <w:rsid w:val="6EC75911"/>
    <w:rsid w:val="6EF62064"/>
    <w:rsid w:val="6F012098"/>
    <w:rsid w:val="6F152A82"/>
    <w:rsid w:val="6F5E6F19"/>
    <w:rsid w:val="6F997093"/>
    <w:rsid w:val="6FEE726D"/>
    <w:rsid w:val="70464684"/>
    <w:rsid w:val="70734F1D"/>
    <w:rsid w:val="707A4DEA"/>
    <w:rsid w:val="7089584F"/>
    <w:rsid w:val="70AE52B6"/>
    <w:rsid w:val="70CB7A46"/>
    <w:rsid w:val="710B7FD2"/>
    <w:rsid w:val="716E6E8E"/>
    <w:rsid w:val="720958CD"/>
    <w:rsid w:val="721B42D7"/>
    <w:rsid w:val="7260520B"/>
    <w:rsid w:val="727E082B"/>
    <w:rsid w:val="72AD470F"/>
    <w:rsid w:val="72B66975"/>
    <w:rsid w:val="7347750F"/>
    <w:rsid w:val="74162518"/>
    <w:rsid w:val="746D393C"/>
    <w:rsid w:val="746E5A63"/>
    <w:rsid w:val="749707A0"/>
    <w:rsid w:val="74A85BCD"/>
    <w:rsid w:val="74B20A51"/>
    <w:rsid w:val="754F5B63"/>
    <w:rsid w:val="75663A36"/>
    <w:rsid w:val="75803703"/>
    <w:rsid w:val="75BD2057"/>
    <w:rsid w:val="75D1062F"/>
    <w:rsid w:val="76142685"/>
    <w:rsid w:val="76654373"/>
    <w:rsid w:val="769446B7"/>
    <w:rsid w:val="76CE6516"/>
    <w:rsid w:val="7714258D"/>
    <w:rsid w:val="77230762"/>
    <w:rsid w:val="77561555"/>
    <w:rsid w:val="775B580D"/>
    <w:rsid w:val="77803E05"/>
    <w:rsid w:val="778823C3"/>
    <w:rsid w:val="77B3636C"/>
    <w:rsid w:val="77E43461"/>
    <w:rsid w:val="785A3235"/>
    <w:rsid w:val="78666F9A"/>
    <w:rsid w:val="78890C97"/>
    <w:rsid w:val="7892658B"/>
    <w:rsid w:val="78CD6041"/>
    <w:rsid w:val="78D52137"/>
    <w:rsid w:val="78DE3AFB"/>
    <w:rsid w:val="78FA2AC9"/>
    <w:rsid w:val="79136344"/>
    <w:rsid w:val="792541BF"/>
    <w:rsid w:val="794533F0"/>
    <w:rsid w:val="79836DCD"/>
    <w:rsid w:val="799812B9"/>
    <w:rsid w:val="79E21399"/>
    <w:rsid w:val="79FF5091"/>
    <w:rsid w:val="7A1B7550"/>
    <w:rsid w:val="7A43736C"/>
    <w:rsid w:val="7A5A09F2"/>
    <w:rsid w:val="7A5B0433"/>
    <w:rsid w:val="7A735E6D"/>
    <w:rsid w:val="7A870A37"/>
    <w:rsid w:val="7ABF31DB"/>
    <w:rsid w:val="7ACC64C8"/>
    <w:rsid w:val="7AE42B0A"/>
    <w:rsid w:val="7AEF0AB3"/>
    <w:rsid w:val="7B2C149E"/>
    <w:rsid w:val="7BDC5CD2"/>
    <w:rsid w:val="7C71187D"/>
    <w:rsid w:val="7CA36C62"/>
    <w:rsid w:val="7CCA5FB6"/>
    <w:rsid w:val="7CDB1EB2"/>
    <w:rsid w:val="7CE3727A"/>
    <w:rsid w:val="7D194A09"/>
    <w:rsid w:val="7DAE4CCE"/>
    <w:rsid w:val="7DBF777E"/>
    <w:rsid w:val="7DDF4555"/>
    <w:rsid w:val="7E014E9E"/>
    <w:rsid w:val="7E0B5034"/>
    <w:rsid w:val="7E24781C"/>
    <w:rsid w:val="7E726E47"/>
    <w:rsid w:val="7E880F47"/>
    <w:rsid w:val="7E8D6FBA"/>
    <w:rsid w:val="7EAF0E8D"/>
    <w:rsid w:val="7F1670F3"/>
    <w:rsid w:val="7F2A67E2"/>
    <w:rsid w:val="7F4E560F"/>
    <w:rsid w:val="7F5668E2"/>
    <w:rsid w:val="7F7446A1"/>
    <w:rsid w:val="7F872244"/>
    <w:rsid w:val="7F8E54AE"/>
    <w:rsid w:val="7FDA2BBF"/>
    <w:rsid w:val="7FEA2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unhideWhenUsed="0" w:uiPriority="0" w:name="toc 3"/>
    <w:lsdException w:unhideWhenUsed="0" w:uiPriority="0"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Times New Roman" w:hAnsi="Times New Roman" w:eastAsia="宋体" w:cs="Times New Roman"/>
      <w:kern w:val="2"/>
      <w:sz w:val="21"/>
      <w:lang w:val="en-US" w:eastAsia="zh-CN" w:bidi="ar-SA"/>
    </w:rPr>
  </w:style>
  <w:style w:type="paragraph" w:styleId="4">
    <w:name w:val="heading 1"/>
    <w:basedOn w:val="1"/>
    <w:next w:val="1"/>
    <w:link w:val="241"/>
    <w:qFormat/>
    <w:uiPriority w:val="0"/>
    <w:pPr>
      <w:keepNext/>
      <w:keepLines/>
      <w:spacing w:before="340" w:after="330" w:line="576" w:lineRule="auto"/>
      <w:outlineLvl w:val="0"/>
    </w:pPr>
    <w:rPr>
      <w:b/>
      <w:sz w:val="44"/>
    </w:rPr>
  </w:style>
  <w:style w:type="paragraph" w:styleId="5">
    <w:name w:val="heading 2"/>
    <w:basedOn w:val="1"/>
    <w:next w:val="1"/>
    <w:link w:val="167"/>
    <w:qFormat/>
    <w:uiPriority w:val="0"/>
    <w:pPr>
      <w:spacing w:before="260" w:after="260" w:line="412" w:lineRule="auto"/>
      <w:outlineLvl w:val="1"/>
    </w:pPr>
    <w:rPr>
      <w:rFonts w:ascii="Arial" w:hAnsi="Arial" w:eastAsia="黑体"/>
      <w:sz w:val="32"/>
    </w:rPr>
  </w:style>
  <w:style w:type="paragraph" w:styleId="6">
    <w:name w:val="heading 3"/>
    <w:basedOn w:val="1"/>
    <w:next w:val="1"/>
    <w:link w:val="172"/>
    <w:qFormat/>
    <w:uiPriority w:val="0"/>
    <w:pPr>
      <w:keepNext/>
      <w:keepLines/>
      <w:spacing w:before="260" w:after="260" w:line="412" w:lineRule="auto"/>
      <w:outlineLvl w:val="2"/>
    </w:pPr>
    <w:rPr>
      <w:rFonts w:ascii="宋体" w:hAnsi="宋体"/>
      <w:b/>
      <w:kern w:val="0"/>
      <w:sz w:val="24"/>
    </w:rPr>
  </w:style>
  <w:style w:type="paragraph" w:styleId="7">
    <w:name w:val="heading 4"/>
    <w:basedOn w:val="1"/>
    <w:next w:val="1"/>
    <w:qFormat/>
    <w:uiPriority w:val="0"/>
    <w:pPr>
      <w:keepNext/>
      <w:keepLines/>
      <w:spacing w:before="280" w:after="290" w:line="372" w:lineRule="auto"/>
      <w:outlineLvl w:val="3"/>
    </w:pPr>
    <w:rPr>
      <w:b/>
      <w:color w:val="000000"/>
      <w:kern w:val="0"/>
      <w:sz w:val="20"/>
    </w:rPr>
  </w:style>
  <w:style w:type="paragraph" w:styleId="8">
    <w:name w:val="heading 5"/>
    <w:basedOn w:val="1"/>
    <w:next w:val="1"/>
    <w:qFormat/>
    <w:uiPriority w:val="0"/>
    <w:pPr>
      <w:tabs>
        <w:tab w:val="left" w:pos="1008"/>
      </w:tabs>
      <w:spacing w:line="374" w:lineRule="auto"/>
      <w:ind w:left="1008" w:hanging="1008"/>
      <w:outlineLvl w:val="4"/>
    </w:pPr>
    <w:rPr>
      <w:bCs/>
      <w:szCs w:val="28"/>
    </w:rPr>
  </w:style>
  <w:style w:type="paragraph" w:styleId="9">
    <w:name w:val="heading 6"/>
    <w:basedOn w:val="1"/>
    <w:next w:val="1"/>
    <w:qFormat/>
    <w:uiPriority w:val="0"/>
    <w:pPr>
      <w:tabs>
        <w:tab w:val="left" w:pos="1152"/>
      </w:tabs>
      <w:snapToGrid w:val="0"/>
      <w:spacing w:before="240" w:after="60" w:line="240" w:lineRule="atLeast"/>
      <w:ind w:left="1152" w:hanging="1152"/>
      <w:jc w:val="left"/>
      <w:outlineLvl w:val="5"/>
    </w:pPr>
    <w:rPr>
      <w:rFonts w:ascii="宋体" w:hAnsi="宋体"/>
      <w:i/>
      <w:kern w:val="0"/>
      <w:sz w:val="22"/>
    </w:rPr>
  </w:style>
  <w:style w:type="paragraph" w:styleId="10">
    <w:name w:val="heading 7"/>
    <w:basedOn w:val="1"/>
    <w:next w:val="1"/>
    <w:qFormat/>
    <w:uiPriority w:val="0"/>
    <w:pPr>
      <w:tabs>
        <w:tab w:val="left" w:pos="1296"/>
      </w:tabs>
      <w:snapToGrid w:val="0"/>
      <w:spacing w:before="240" w:after="60" w:line="240" w:lineRule="atLeast"/>
      <w:ind w:left="1296" w:hanging="1296"/>
      <w:jc w:val="left"/>
      <w:outlineLvl w:val="6"/>
    </w:pPr>
    <w:rPr>
      <w:rFonts w:ascii="宋体" w:hAnsi="宋体"/>
      <w:kern w:val="0"/>
      <w:sz w:val="24"/>
    </w:rPr>
  </w:style>
  <w:style w:type="paragraph" w:styleId="11">
    <w:name w:val="heading 8"/>
    <w:basedOn w:val="1"/>
    <w:next w:val="1"/>
    <w:qFormat/>
    <w:uiPriority w:val="0"/>
    <w:pPr>
      <w:tabs>
        <w:tab w:val="left" w:pos="1440"/>
      </w:tabs>
      <w:snapToGrid w:val="0"/>
      <w:spacing w:before="240" w:after="60" w:line="240" w:lineRule="atLeast"/>
      <w:ind w:left="1440" w:hanging="1440"/>
      <w:jc w:val="left"/>
      <w:outlineLvl w:val="7"/>
    </w:pPr>
    <w:rPr>
      <w:rFonts w:ascii="宋体" w:hAnsi="宋体"/>
      <w:i/>
      <w:kern w:val="0"/>
      <w:sz w:val="24"/>
    </w:rPr>
  </w:style>
  <w:style w:type="paragraph" w:styleId="12">
    <w:name w:val="heading 9"/>
    <w:basedOn w:val="1"/>
    <w:next w:val="1"/>
    <w:qFormat/>
    <w:uiPriority w:val="0"/>
    <w:pPr>
      <w:tabs>
        <w:tab w:val="left" w:pos="1584"/>
      </w:tabs>
      <w:snapToGrid w:val="0"/>
      <w:spacing w:before="240" w:after="60" w:line="240" w:lineRule="atLeast"/>
      <w:ind w:left="1584" w:hanging="1584"/>
      <w:jc w:val="left"/>
      <w:outlineLvl w:val="8"/>
    </w:pPr>
    <w:rPr>
      <w:rFonts w:ascii="宋体" w:hAnsi="宋体"/>
      <w:b/>
      <w:i/>
      <w:kern w:val="0"/>
      <w:sz w:val="1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0"/>
    <w:pPr>
      <w:ind w:firstLine="200" w:firstLineChars="200"/>
    </w:pPr>
    <w:rPr>
      <w:rFonts w:ascii="Times New Roman" w:hAnsi="Times New Roman"/>
    </w:rPr>
  </w:style>
  <w:style w:type="paragraph" w:styleId="3">
    <w:name w:val="Body Text"/>
    <w:basedOn w:val="1"/>
    <w:next w:val="1"/>
    <w:link w:val="242"/>
    <w:qFormat/>
    <w:uiPriority w:val="0"/>
    <w:pPr>
      <w:widowControl/>
      <w:spacing w:after="120"/>
      <w:jc w:val="right"/>
    </w:pPr>
    <w:rPr>
      <w:rFonts w:ascii="Arial" w:hAnsi="Arial"/>
      <w:b/>
      <w:kern w:val="0"/>
      <w:sz w:val="28"/>
    </w:rPr>
  </w:style>
  <w:style w:type="paragraph" w:styleId="13">
    <w:name w:val="Normal Indent"/>
    <w:basedOn w:val="1"/>
    <w:next w:val="1"/>
    <w:unhideWhenUsed/>
    <w:qFormat/>
    <w:uiPriority w:val="99"/>
    <w:pPr>
      <w:ind w:firstLine="420"/>
    </w:pPr>
  </w:style>
  <w:style w:type="paragraph" w:styleId="14">
    <w:name w:val="caption"/>
    <w:basedOn w:val="1"/>
    <w:next w:val="1"/>
    <w:qFormat/>
    <w:uiPriority w:val="0"/>
    <w:pPr>
      <w:suppressLineNumbers/>
      <w:spacing w:before="120" w:after="120"/>
    </w:pPr>
    <w:rPr>
      <w:rFonts w:cs="Mangal"/>
      <w:i/>
      <w:iCs/>
      <w:sz w:val="24"/>
      <w:szCs w:val="24"/>
    </w:rPr>
  </w:style>
  <w:style w:type="paragraph" w:styleId="15">
    <w:name w:val="annotation text"/>
    <w:basedOn w:val="1"/>
    <w:link w:val="175"/>
    <w:unhideWhenUsed/>
    <w:qFormat/>
    <w:uiPriority w:val="99"/>
    <w:pPr>
      <w:jc w:val="left"/>
    </w:pPr>
  </w:style>
  <w:style w:type="paragraph" w:styleId="16">
    <w:name w:val="Plain Text"/>
    <w:basedOn w:val="1"/>
    <w:link w:val="196"/>
    <w:qFormat/>
    <w:uiPriority w:val="0"/>
    <w:pPr>
      <w:adjustRightInd w:val="0"/>
      <w:spacing w:line="312" w:lineRule="atLeast"/>
      <w:textAlignment w:val="baseline"/>
    </w:pPr>
    <w:rPr>
      <w:rFonts w:ascii="宋体" w:hAnsi="宋体" w:cs="Courier New"/>
      <w:kern w:val="0"/>
      <w:sz w:val="20"/>
      <w:szCs w:val="21"/>
    </w:rPr>
  </w:style>
  <w:style w:type="paragraph" w:styleId="17">
    <w:name w:val="Date"/>
    <w:basedOn w:val="1"/>
    <w:next w:val="1"/>
    <w:unhideWhenUsed/>
    <w:qFormat/>
    <w:uiPriority w:val="99"/>
    <w:pPr>
      <w:ind w:left="100"/>
    </w:pPr>
    <w:rPr>
      <w:rFonts w:ascii="宋体" w:hAnsi="宋体"/>
      <w:sz w:val="24"/>
      <w:szCs w:val="24"/>
    </w:rPr>
  </w:style>
  <w:style w:type="paragraph" w:styleId="18">
    <w:name w:val="Balloon Text"/>
    <w:basedOn w:val="1"/>
    <w:link w:val="215"/>
    <w:unhideWhenUsed/>
    <w:qFormat/>
    <w:uiPriority w:val="99"/>
    <w:rPr>
      <w:sz w:val="18"/>
      <w:szCs w:val="18"/>
    </w:rPr>
  </w:style>
  <w:style w:type="paragraph" w:styleId="19">
    <w:name w:val="footer"/>
    <w:basedOn w:val="1"/>
    <w:qFormat/>
    <w:uiPriority w:val="99"/>
    <w:pPr>
      <w:tabs>
        <w:tab w:val="center" w:pos="4153"/>
        <w:tab w:val="right" w:pos="8306"/>
      </w:tabs>
      <w:snapToGrid w:val="0"/>
      <w:jc w:val="left"/>
    </w:pPr>
    <w:rPr>
      <w:sz w:val="18"/>
      <w:szCs w:val="18"/>
    </w:rPr>
  </w:style>
  <w:style w:type="paragraph" w:styleId="20">
    <w:name w:val="header"/>
    <w:basedOn w:val="1"/>
    <w:qFormat/>
    <w:uiPriority w:val="0"/>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sz w:val="18"/>
      <w:szCs w:val="18"/>
    </w:rPr>
  </w:style>
  <w:style w:type="paragraph" w:styleId="21">
    <w:name w:val="toc 1"/>
    <w:basedOn w:val="1"/>
    <w:next w:val="1"/>
    <w:semiHidden/>
    <w:qFormat/>
    <w:uiPriority w:val="0"/>
  </w:style>
  <w:style w:type="paragraph" w:styleId="22">
    <w:name w:val="List"/>
    <w:basedOn w:val="3"/>
    <w:qFormat/>
    <w:uiPriority w:val="0"/>
    <w:rPr>
      <w:rFonts w:cs="Mangal"/>
    </w:rPr>
  </w:style>
  <w:style w:type="paragraph" w:styleId="23">
    <w:name w:val="toc 2"/>
    <w:basedOn w:val="1"/>
    <w:next w:val="1"/>
    <w:semiHidden/>
    <w:qFormat/>
    <w:uiPriority w:val="0"/>
    <w:pPr>
      <w:ind w:left="420" w:leftChars="200"/>
    </w:pPr>
  </w:style>
  <w:style w:type="paragraph" w:styleId="24">
    <w:name w:val="Normal (Web)"/>
    <w:basedOn w:val="1"/>
    <w:unhideWhenUsed/>
    <w:qFormat/>
    <w:uiPriority w:val="99"/>
    <w:pPr>
      <w:spacing w:before="100" w:beforeAutospacing="1" w:after="100" w:afterAutospacing="1"/>
      <w:jc w:val="left"/>
    </w:pPr>
    <w:rPr>
      <w:kern w:val="0"/>
      <w:sz w:val="24"/>
    </w:rPr>
  </w:style>
  <w:style w:type="paragraph" w:styleId="25">
    <w:name w:val="index 1"/>
    <w:basedOn w:val="1"/>
    <w:next w:val="1"/>
    <w:qFormat/>
    <w:uiPriority w:val="0"/>
  </w:style>
  <w:style w:type="paragraph" w:styleId="26">
    <w:name w:val="annotation subject"/>
    <w:basedOn w:val="15"/>
    <w:next w:val="15"/>
    <w:link w:val="191"/>
    <w:unhideWhenUsed/>
    <w:qFormat/>
    <w:uiPriority w:val="99"/>
    <w:rPr>
      <w:b/>
      <w:bCs/>
    </w:rPr>
  </w:style>
  <w:style w:type="paragraph" w:styleId="27">
    <w:name w:val="Body Text First Indent 2"/>
    <w:basedOn w:val="3"/>
    <w:unhideWhenUsed/>
    <w:qFormat/>
    <w:uiPriority w:val="99"/>
    <w:pPr>
      <w:spacing w:before="100" w:beforeAutospacing="1" w:after="100" w:afterAutospacing="1"/>
      <w:ind w:firstLine="420" w:firstLineChars="200"/>
      <w:jc w:val="left"/>
    </w:pPr>
    <w:rPr>
      <w:rFonts w:ascii="Arial Unicode MS" w:hAnsi="Arial Unicode MS" w:eastAsia="Arial Unicode MS"/>
      <w:sz w:val="24"/>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unhideWhenUsed/>
    <w:qFormat/>
    <w:uiPriority w:val="99"/>
    <w:rPr>
      <w:rFonts w:cs="Times New Roman"/>
    </w:rPr>
  </w:style>
  <w:style w:type="character" w:styleId="32">
    <w:name w:val="Hyperlink"/>
    <w:qFormat/>
    <w:uiPriority w:val="0"/>
    <w:rPr>
      <w:color w:val="0000FF"/>
      <w:u w:val="single"/>
    </w:rPr>
  </w:style>
  <w:style w:type="character" w:styleId="33">
    <w:name w:val="annotation reference"/>
    <w:unhideWhenUsed/>
    <w:qFormat/>
    <w:uiPriority w:val="99"/>
    <w:rPr>
      <w:sz w:val="21"/>
      <w:szCs w:val="21"/>
    </w:rPr>
  </w:style>
  <w:style w:type="paragraph" w:customStyle="1" w:styleId="34">
    <w:name w:val="列出段落1"/>
    <w:basedOn w:val="1"/>
    <w:qFormat/>
    <w:uiPriority w:val="0"/>
    <w:pPr>
      <w:widowControl/>
      <w:ind w:firstLine="420"/>
      <w:jc w:val="left"/>
    </w:pPr>
    <w:rPr>
      <w:rFonts w:ascii="Arial" w:hAnsi="Arial"/>
      <w:kern w:val="0"/>
      <w:sz w:val="22"/>
      <w:lang w:eastAsia="en-US"/>
    </w:rPr>
  </w:style>
  <w:style w:type="paragraph" w:customStyle="1" w:styleId="35">
    <w:name w:val="目录 21"/>
    <w:basedOn w:val="1"/>
    <w:next w:val="1"/>
    <w:qFormat/>
    <w:uiPriority w:val="0"/>
    <w:pPr>
      <w:ind w:left="210"/>
      <w:jc w:val="left"/>
    </w:pPr>
    <w:rPr>
      <w:smallCaps/>
    </w:rPr>
  </w:style>
  <w:style w:type="paragraph" w:customStyle="1" w:styleId="36">
    <w:name w:val="目录 41"/>
    <w:basedOn w:val="1"/>
    <w:next w:val="1"/>
    <w:qFormat/>
    <w:uiPriority w:val="0"/>
    <w:pPr>
      <w:ind w:left="1260"/>
    </w:pPr>
  </w:style>
  <w:style w:type="paragraph" w:customStyle="1" w:styleId="37">
    <w:name w:val="目录 31"/>
    <w:basedOn w:val="1"/>
    <w:next w:val="1"/>
    <w:qFormat/>
    <w:uiPriority w:val="0"/>
    <w:pPr>
      <w:snapToGrid w:val="0"/>
      <w:spacing w:line="240" w:lineRule="atLeast"/>
      <w:ind w:left="400"/>
      <w:jc w:val="left"/>
    </w:pPr>
    <w:rPr>
      <w:kern w:val="0"/>
      <w:sz w:val="24"/>
    </w:rPr>
  </w:style>
  <w:style w:type="paragraph" w:customStyle="1" w:styleId="38">
    <w:name w:val="目录 11"/>
    <w:basedOn w:val="1"/>
    <w:next w:val="1"/>
    <w:qFormat/>
    <w:uiPriority w:val="0"/>
    <w:pPr>
      <w:spacing w:before="120" w:after="120"/>
      <w:jc w:val="left"/>
    </w:pPr>
    <w:rPr>
      <w:b/>
      <w:caps/>
    </w:rPr>
  </w:style>
  <w:style w:type="paragraph" w:customStyle="1" w:styleId="39">
    <w:name w:val="无间隔1"/>
    <w:qFormat/>
    <w:uiPriority w:val="0"/>
    <w:pPr>
      <w:widowControl w:val="0"/>
      <w:suppressAutoHyphens/>
      <w:jc w:val="both"/>
    </w:pPr>
    <w:rPr>
      <w:rFonts w:ascii="Calibri" w:hAnsi="Calibri" w:eastAsia="宋体" w:cs="Times New Roman"/>
      <w:kern w:val="2"/>
      <w:sz w:val="24"/>
      <w:lang w:val="en-US" w:eastAsia="zh-CN" w:bidi="ar-SA"/>
    </w:rPr>
  </w:style>
  <w:style w:type="paragraph" w:customStyle="1" w:styleId="40">
    <w:name w:val="_正文段落"/>
    <w:basedOn w:val="1"/>
    <w:qFormat/>
    <w:uiPriority w:val="0"/>
    <w:pPr>
      <w:spacing w:line="360" w:lineRule="auto"/>
      <w:ind w:firstLine="480"/>
    </w:pPr>
    <w:rPr>
      <w:rFonts w:ascii="宋体" w:hAnsi="宋体"/>
      <w:sz w:val="24"/>
    </w:rPr>
  </w:style>
  <w:style w:type="paragraph" w:customStyle="1" w:styleId="41">
    <w:name w:val="TOC 标题2"/>
    <w:basedOn w:val="4"/>
    <w:next w:val="1"/>
    <w:qFormat/>
    <w:uiPriority w:val="0"/>
    <w:pPr>
      <w:tabs>
        <w:tab w:val="left" w:pos="432"/>
      </w:tabs>
      <w:spacing w:before="480" w:after="0" w:line="276" w:lineRule="auto"/>
      <w:jc w:val="left"/>
    </w:pPr>
    <w:rPr>
      <w:rFonts w:ascii="Cambria" w:hAnsi="Cambria"/>
      <w:bCs/>
      <w:color w:val="365F91"/>
      <w:kern w:val="0"/>
      <w:sz w:val="28"/>
      <w:szCs w:val="28"/>
    </w:rPr>
  </w:style>
  <w:style w:type="paragraph" w:customStyle="1" w:styleId="42">
    <w:name w:val="正文文本缩进 211"/>
    <w:basedOn w:val="1"/>
    <w:qFormat/>
    <w:uiPriority w:val="0"/>
    <w:pPr>
      <w:spacing w:after="120" w:line="480" w:lineRule="auto"/>
      <w:ind w:left="420"/>
    </w:pPr>
    <w:rPr>
      <w:rFonts w:ascii="Calibri" w:hAnsi="Calibri" w:cs="黑体"/>
      <w:szCs w:val="22"/>
    </w:rPr>
  </w:style>
  <w:style w:type="paragraph" w:customStyle="1" w:styleId="43">
    <w:name w:val="正文缩进2"/>
    <w:basedOn w:val="1"/>
    <w:qFormat/>
    <w:uiPriority w:val="0"/>
    <w:pPr>
      <w:ind w:firstLine="420"/>
    </w:pPr>
    <w:rPr>
      <w:kern w:val="0"/>
      <w:sz w:val="20"/>
    </w:rPr>
  </w:style>
  <w:style w:type="paragraph" w:customStyle="1" w:styleId="44">
    <w:name w:val="Char Char Char1 Char Char Char Char Char Char1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45">
    <w:name w:val="文档正文"/>
    <w:basedOn w:val="1"/>
    <w:qFormat/>
    <w:uiPriority w:val="0"/>
    <w:pPr>
      <w:spacing w:line="440" w:lineRule="exact"/>
      <w:ind w:firstLine="567"/>
      <w:textAlignment w:val="baseline"/>
    </w:pPr>
    <w:rPr>
      <w:rFonts w:ascii="Arial Narrow" w:hAnsi="Arial Narrow"/>
      <w:kern w:val="0"/>
    </w:rPr>
  </w:style>
  <w:style w:type="paragraph" w:customStyle="1" w:styleId="46">
    <w:name w:val="题注1"/>
    <w:basedOn w:val="1"/>
    <w:next w:val="1"/>
    <w:qFormat/>
    <w:uiPriority w:val="0"/>
    <w:pPr>
      <w:spacing w:before="152" w:after="160"/>
    </w:pPr>
    <w:rPr>
      <w:rFonts w:ascii="Arial" w:hAnsi="Arial" w:eastAsia="黑体" w:cs="Arial"/>
      <w:sz w:val="20"/>
    </w:rPr>
  </w:style>
  <w:style w:type="paragraph" w:customStyle="1" w:styleId="47">
    <w:name w:val="p16"/>
    <w:basedOn w:val="1"/>
    <w:qFormat/>
    <w:uiPriority w:val="0"/>
    <w:pPr>
      <w:widowControl/>
      <w:snapToGrid w:val="0"/>
      <w:spacing w:line="312" w:lineRule="atLeast"/>
    </w:pPr>
    <w:rPr>
      <w:rFonts w:ascii="宋体" w:hAnsi="宋体"/>
      <w:kern w:val="0"/>
    </w:rPr>
  </w:style>
  <w:style w:type="paragraph" w:customStyle="1" w:styleId="48">
    <w:name w:val="纯文本11"/>
    <w:basedOn w:val="1"/>
    <w:qFormat/>
    <w:uiPriority w:val="0"/>
    <w:pPr>
      <w:spacing w:line="312" w:lineRule="atLeast"/>
      <w:textAlignment w:val="baseline"/>
    </w:pPr>
    <w:rPr>
      <w:rFonts w:ascii="宋体" w:hAnsi="宋体"/>
    </w:rPr>
  </w:style>
  <w:style w:type="paragraph" w:customStyle="1" w:styleId="49">
    <w:name w:val="列出段落2"/>
    <w:basedOn w:val="1"/>
    <w:qFormat/>
    <w:uiPriority w:val="0"/>
    <w:pPr>
      <w:ind w:firstLine="420"/>
    </w:pPr>
    <w:rPr>
      <w:rFonts w:ascii="Calibri" w:hAnsi="Calibri"/>
      <w:kern w:val="0"/>
      <w:sz w:val="20"/>
    </w:rPr>
  </w:style>
  <w:style w:type="paragraph" w:customStyle="1" w:styleId="50">
    <w:name w:val="正文1"/>
    <w:basedOn w:val="1"/>
    <w:qFormat/>
    <w:uiPriority w:val="0"/>
    <w:pPr>
      <w:spacing w:line="480" w:lineRule="atLeast"/>
      <w:ind w:firstLine="567"/>
    </w:pPr>
    <w:rPr>
      <w:spacing w:val="5"/>
      <w:sz w:val="28"/>
    </w:rPr>
  </w:style>
  <w:style w:type="paragraph" w:customStyle="1" w:styleId="51">
    <w:name w:val="页眉1"/>
    <w:basedOn w:val="1"/>
    <w:qFormat/>
    <w:uiPriority w:val="0"/>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style>
  <w:style w:type="paragraph" w:customStyle="1" w:styleId="52">
    <w:name w:val="_Style 3"/>
    <w:basedOn w:val="1"/>
    <w:qFormat/>
    <w:uiPriority w:val="0"/>
    <w:pPr>
      <w:ind w:firstLine="420"/>
    </w:pPr>
    <w:rPr>
      <w:rFonts w:ascii="Calibri" w:hAnsi="Calibri"/>
    </w:rPr>
  </w:style>
  <w:style w:type="paragraph" w:customStyle="1" w:styleId="53">
    <w:name w:val="页脚11"/>
    <w:basedOn w:val="1"/>
    <w:qFormat/>
    <w:uiPriority w:val="0"/>
    <w:pPr>
      <w:tabs>
        <w:tab w:val="center" w:pos="4153"/>
        <w:tab w:val="right" w:pos="8306"/>
      </w:tabs>
      <w:snapToGrid w:val="0"/>
      <w:jc w:val="left"/>
    </w:pPr>
    <w:rPr>
      <w:sz w:val="18"/>
    </w:rPr>
  </w:style>
  <w:style w:type="paragraph" w:customStyle="1" w:styleId="54">
    <w:name w:val="图形说明文字"/>
    <w:next w:val="1"/>
    <w:qFormat/>
    <w:uiPriority w:val="0"/>
    <w:pPr>
      <w:spacing w:before="360" w:after="360" w:line="320" w:lineRule="exact"/>
      <w:jc w:val="center"/>
    </w:pPr>
    <w:rPr>
      <w:rFonts w:ascii="Times New Roman" w:hAnsi="Times New Roman" w:eastAsia="宋体" w:cs="Times New Roman"/>
      <w:sz w:val="21"/>
      <w:szCs w:val="22"/>
      <w:lang w:val="en-US" w:eastAsia="zh-CN" w:bidi="ar-SA"/>
    </w:rPr>
  </w:style>
  <w:style w:type="paragraph" w:customStyle="1" w:styleId="55">
    <w:name w:val="正文文本1"/>
    <w:basedOn w:val="1"/>
    <w:qFormat/>
    <w:uiPriority w:val="0"/>
    <w:pPr>
      <w:spacing w:after="120"/>
    </w:pPr>
  </w:style>
  <w:style w:type="paragraph" w:customStyle="1" w:styleId="56">
    <w:name w:val="日期1"/>
    <w:basedOn w:val="1"/>
    <w:next w:val="1"/>
    <w:qFormat/>
    <w:uiPriority w:val="0"/>
    <w:pPr>
      <w:ind w:left="100"/>
    </w:pPr>
  </w:style>
  <w:style w:type="paragraph" w:customStyle="1" w:styleId="57">
    <w:name w:val="Char1 Char Char Char"/>
    <w:basedOn w:val="1"/>
    <w:qFormat/>
    <w:uiPriority w:val="0"/>
    <w:pPr>
      <w:tabs>
        <w:tab w:val="left" w:pos="840"/>
      </w:tabs>
      <w:ind w:left="840" w:hanging="420"/>
    </w:pPr>
  </w:style>
  <w:style w:type="paragraph" w:customStyle="1" w:styleId="58">
    <w:name w:val="Heading Bar"/>
    <w:basedOn w:val="1"/>
    <w:next w:val="6"/>
    <w:qFormat/>
    <w:uiPriority w:val="0"/>
    <w:pPr>
      <w:keepNext/>
      <w:keepLines/>
      <w:shd w:val="clear" w:color="auto" w:fill="000000"/>
      <w:spacing w:before="240"/>
      <w:ind w:right="7380" w:firstLine="360"/>
      <w:jc w:val="left"/>
      <w:textAlignment w:val="baseline"/>
    </w:pPr>
    <w:rPr>
      <w:rFonts w:ascii="宋体" w:hAnsi="宋体"/>
      <w:color w:val="FFFFFF"/>
      <w:kern w:val="0"/>
      <w:sz w:val="8"/>
    </w:rPr>
  </w:style>
  <w:style w:type="paragraph" w:customStyle="1" w:styleId="59">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黑体" w:eastAsia="黑体"/>
      <w:kern w:val="0"/>
      <w:sz w:val="20"/>
    </w:rPr>
  </w:style>
  <w:style w:type="paragraph" w:customStyle="1" w:styleId="60">
    <w:name w:val="文档结构图1"/>
    <w:basedOn w:val="1"/>
    <w:qFormat/>
    <w:uiPriority w:val="0"/>
    <w:pPr>
      <w:shd w:val="clear" w:color="auto" w:fill="000080"/>
    </w:pPr>
    <w:rPr>
      <w:rFonts w:ascii="楷体_GB2312" w:hAnsi="楷体_GB2312" w:eastAsia="楷体_GB2312"/>
      <w:b/>
      <w:bCs/>
      <w:kern w:val="0"/>
      <w:sz w:val="32"/>
      <w:szCs w:val="32"/>
    </w:rPr>
  </w:style>
  <w:style w:type="paragraph" w:customStyle="1" w:styleId="61">
    <w:name w:val="修订1"/>
    <w:qFormat/>
    <w:uiPriority w:val="0"/>
    <w:pPr>
      <w:suppressAutoHyphens/>
    </w:pPr>
    <w:rPr>
      <w:rFonts w:ascii="Times New Roman" w:hAnsi="Times New Roman" w:eastAsia="宋体" w:cs="Times New Roman"/>
      <w:kern w:val="2"/>
      <w:sz w:val="21"/>
      <w:lang w:val="en-US" w:eastAsia="zh-CN" w:bidi="ar-SA"/>
    </w:rPr>
  </w:style>
  <w:style w:type="paragraph" w:customStyle="1" w:styleId="62">
    <w:name w:val="批注框文本1"/>
    <w:basedOn w:val="1"/>
    <w:qFormat/>
    <w:uiPriority w:val="0"/>
    <w:rPr>
      <w:sz w:val="18"/>
      <w:szCs w:val="18"/>
    </w:rPr>
  </w:style>
  <w:style w:type="paragraph" w:customStyle="1" w:styleId="63">
    <w:name w:val="彩色列表 - 着色 11"/>
    <w:basedOn w:val="1"/>
    <w:qFormat/>
    <w:uiPriority w:val="0"/>
    <w:pPr>
      <w:ind w:firstLine="420"/>
    </w:pPr>
    <w:rPr>
      <w:rFonts w:ascii="Calibri" w:hAnsi="Calibri"/>
    </w:rPr>
  </w:style>
  <w:style w:type="paragraph" w:customStyle="1" w:styleId="64">
    <w:name w:val="正文缩进21"/>
    <w:basedOn w:val="1"/>
    <w:qFormat/>
    <w:uiPriority w:val="0"/>
    <w:pPr>
      <w:ind w:firstLine="420"/>
    </w:pPr>
  </w:style>
  <w:style w:type="paragraph" w:customStyle="1" w:styleId="65">
    <w:name w:val="纯文本3"/>
    <w:basedOn w:val="1"/>
    <w:qFormat/>
    <w:uiPriority w:val="0"/>
    <w:pPr>
      <w:spacing w:line="312" w:lineRule="atLeast"/>
      <w:textAlignment w:val="baseline"/>
    </w:pPr>
    <w:rPr>
      <w:rFonts w:ascii="宋体" w:hAnsi="宋体"/>
    </w:rPr>
  </w:style>
  <w:style w:type="paragraph" w:customStyle="1" w:styleId="66">
    <w:name w:val="日期2"/>
    <w:basedOn w:val="1"/>
    <w:next w:val="1"/>
    <w:qFormat/>
    <w:uiPriority w:val="0"/>
    <w:pPr>
      <w:ind w:left="100"/>
    </w:pPr>
    <w:rPr>
      <w:rFonts w:ascii="宋体" w:hAnsi="宋体"/>
      <w:sz w:val="24"/>
      <w:szCs w:val="24"/>
    </w:rPr>
  </w:style>
  <w:style w:type="paragraph" w:customStyle="1" w:styleId="67">
    <w:name w:val="Char3"/>
    <w:basedOn w:val="1"/>
    <w:qFormat/>
    <w:uiPriority w:val="0"/>
    <w:rPr>
      <w:sz w:val="24"/>
    </w:rPr>
  </w:style>
  <w:style w:type="paragraph" w:customStyle="1" w:styleId="68">
    <w:name w:val="普通(网站)1"/>
    <w:basedOn w:val="1"/>
    <w:qFormat/>
    <w:uiPriority w:val="0"/>
    <w:pPr>
      <w:spacing w:before="280" w:after="280"/>
      <w:jc w:val="left"/>
    </w:pPr>
    <w:rPr>
      <w:kern w:val="0"/>
      <w:sz w:val="24"/>
    </w:rPr>
  </w:style>
  <w:style w:type="paragraph" w:customStyle="1" w:styleId="69">
    <w:name w:val="正文文本11"/>
    <w:basedOn w:val="1"/>
    <w:qFormat/>
    <w:uiPriority w:val="0"/>
    <w:pPr>
      <w:spacing w:after="120"/>
    </w:pPr>
    <w:rPr>
      <w:rFonts w:ascii="宋体" w:hAnsi="宋体"/>
      <w:kern w:val="0"/>
      <w:sz w:val="20"/>
    </w:rPr>
  </w:style>
  <w:style w:type="paragraph" w:customStyle="1" w:styleId="70">
    <w:name w:val="Normal0"/>
    <w:qFormat/>
    <w:uiPriority w:val="0"/>
    <w:pPr>
      <w:suppressAutoHyphens/>
    </w:pPr>
    <w:rPr>
      <w:rFonts w:ascii="Times New Roman" w:hAnsi="Times New Roman" w:eastAsia="宋体" w:cs="Times New Roman"/>
      <w:sz w:val="21"/>
      <w:lang w:val="en-US" w:eastAsia="en-US" w:bidi="ar-SA"/>
    </w:rPr>
  </w:style>
  <w:style w:type="paragraph" w:customStyle="1" w:styleId="71">
    <w:name w:val="批注文字1"/>
    <w:basedOn w:val="1"/>
    <w:qFormat/>
    <w:uiPriority w:val="0"/>
    <w:pPr>
      <w:jc w:val="left"/>
    </w:pPr>
  </w:style>
  <w:style w:type="paragraph" w:customStyle="1" w:styleId="72">
    <w:name w:val="Char Char Char"/>
    <w:basedOn w:val="1"/>
    <w:qFormat/>
    <w:uiPriority w:val="0"/>
    <w:rPr>
      <w:rFonts w:ascii="Tahoma" w:hAnsi="Tahoma"/>
      <w:sz w:val="24"/>
    </w:rPr>
  </w:style>
  <w:style w:type="paragraph" w:customStyle="1" w:styleId="73">
    <w:name w:val="正文缩进1"/>
    <w:basedOn w:val="1"/>
    <w:qFormat/>
    <w:uiPriority w:val="0"/>
    <w:pPr>
      <w:ind w:firstLine="420"/>
    </w:pPr>
  </w:style>
  <w:style w:type="paragraph" w:customStyle="1" w:styleId="74">
    <w:name w:val="金宏发行正文"/>
    <w:basedOn w:val="1"/>
    <w:qFormat/>
    <w:uiPriority w:val="0"/>
    <w:pPr>
      <w:spacing w:line="500" w:lineRule="exact"/>
      <w:ind w:firstLine="560"/>
    </w:pPr>
    <w:rPr>
      <w:rFonts w:eastAsia="仿宋_GB2312" w:cs="宋体"/>
      <w:sz w:val="28"/>
    </w:rPr>
  </w:style>
  <w:style w:type="paragraph" w:customStyle="1" w:styleId="75">
    <w:name w:val="p15"/>
    <w:basedOn w:val="1"/>
    <w:qFormat/>
    <w:uiPriority w:val="0"/>
    <w:pPr>
      <w:widowControl/>
      <w:spacing w:line="360" w:lineRule="auto"/>
      <w:ind w:firstLine="420"/>
      <w:jc w:val="left"/>
    </w:pPr>
    <w:rPr>
      <w:rFonts w:ascii="仿宋" w:hAnsi="仿宋" w:eastAsia="仿宋"/>
      <w:kern w:val="0"/>
      <w:sz w:val="28"/>
    </w:rPr>
  </w:style>
  <w:style w:type="paragraph" w:customStyle="1" w:styleId="76">
    <w:name w:val="标题1"/>
    <w:basedOn w:val="1"/>
    <w:next w:val="1"/>
    <w:qFormat/>
    <w:uiPriority w:val="0"/>
    <w:pPr>
      <w:snapToGrid w:val="0"/>
      <w:jc w:val="center"/>
    </w:pPr>
    <w:rPr>
      <w:rFonts w:ascii="宋体" w:hAnsi="宋体"/>
      <w:b/>
      <w:kern w:val="0"/>
      <w:sz w:val="36"/>
    </w:rPr>
  </w:style>
  <w:style w:type="paragraph" w:customStyle="1" w:styleId="77">
    <w:name w:val="列出段落4"/>
    <w:basedOn w:val="1"/>
    <w:qFormat/>
    <w:uiPriority w:val="0"/>
    <w:pPr>
      <w:ind w:firstLine="420"/>
    </w:pPr>
  </w:style>
  <w:style w:type="paragraph" w:customStyle="1" w:styleId="78">
    <w:name w:val="文本块2"/>
    <w:basedOn w:val="1"/>
    <w:qFormat/>
    <w:uiPriority w:val="0"/>
    <w:pPr>
      <w:tabs>
        <w:tab w:val="left" w:pos="1260"/>
      </w:tabs>
      <w:snapToGrid w:val="0"/>
      <w:spacing w:line="300" w:lineRule="auto"/>
      <w:ind w:left="181" w:right="12" w:firstLine="560"/>
    </w:pPr>
    <w:rPr>
      <w:rFonts w:eastAsia="仿宋_GB2312"/>
      <w:sz w:val="28"/>
    </w:rPr>
  </w:style>
  <w:style w:type="paragraph" w:customStyle="1" w:styleId="79">
    <w:name w:val="正文文本缩进 21"/>
    <w:basedOn w:val="1"/>
    <w:qFormat/>
    <w:uiPriority w:val="0"/>
    <w:pPr>
      <w:spacing w:after="120" w:line="480" w:lineRule="auto"/>
      <w:ind w:left="420"/>
    </w:pPr>
    <w:rPr>
      <w:kern w:val="0"/>
      <w:sz w:val="20"/>
    </w:rPr>
  </w:style>
  <w:style w:type="paragraph" w:customStyle="1" w:styleId="80">
    <w:name w:val="正文（首行缩进2字符）"/>
    <w:basedOn w:val="1"/>
    <w:qFormat/>
    <w:uiPriority w:val="0"/>
    <w:pPr>
      <w:spacing w:line="360" w:lineRule="auto"/>
      <w:ind w:firstLine="461"/>
    </w:pPr>
    <w:rPr>
      <w:rFonts w:ascii="Arial" w:hAnsi="Arial"/>
      <w:kern w:val="0"/>
      <w:sz w:val="24"/>
    </w:rPr>
  </w:style>
  <w:style w:type="paragraph" w:customStyle="1" w:styleId="81">
    <w:name w:val="标题样式"/>
    <w:basedOn w:val="1"/>
    <w:next w:val="3"/>
    <w:qFormat/>
    <w:uiPriority w:val="0"/>
    <w:pPr>
      <w:keepNext/>
      <w:spacing w:before="240" w:after="120"/>
    </w:pPr>
    <w:rPr>
      <w:rFonts w:ascii="Liberation Sans" w:hAnsi="Liberation Sans" w:eastAsia="微软雅黑" w:cs="Mangal"/>
      <w:sz w:val="28"/>
      <w:szCs w:val="28"/>
    </w:rPr>
  </w:style>
  <w:style w:type="paragraph" w:customStyle="1" w:styleId="82">
    <w:name w:val="Char"/>
    <w:basedOn w:val="1"/>
    <w:qFormat/>
    <w:uiPriority w:val="0"/>
    <w:pPr>
      <w:widowControl/>
      <w:spacing w:after="160" w:line="240" w:lineRule="exact"/>
      <w:jc w:val="left"/>
    </w:pPr>
    <w:rPr>
      <w:kern w:val="0"/>
      <w:sz w:val="20"/>
    </w:rPr>
  </w:style>
  <w:style w:type="paragraph" w:customStyle="1" w:styleId="83">
    <w:name w:val="文本块1"/>
    <w:basedOn w:val="1"/>
    <w:qFormat/>
    <w:uiPriority w:val="0"/>
    <w:pPr>
      <w:tabs>
        <w:tab w:val="left" w:pos="1260"/>
      </w:tabs>
      <w:snapToGrid w:val="0"/>
      <w:spacing w:line="300" w:lineRule="auto"/>
      <w:ind w:left="181" w:right="12" w:firstLine="560"/>
    </w:pPr>
    <w:rPr>
      <w:rFonts w:eastAsia="仿宋_GB2312"/>
      <w:sz w:val="28"/>
    </w:rPr>
  </w:style>
  <w:style w:type="paragraph" w:customStyle="1" w:styleId="84">
    <w:name w:val="正文文本缩进 31"/>
    <w:basedOn w:val="1"/>
    <w:qFormat/>
    <w:uiPriority w:val="0"/>
    <w:pPr>
      <w:spacing w:after="120"/>
      <w:ind w:left="420"/>
    </w:pPr>
    <w:rPr>
      <w:sz w:val="16"/>
    </w:rPr>
  </w:style>
  <w:style w:type="paragraph" w:customStyle="1" w:styleId="85">
    <w:name w:val="段"/>
    <w:qFormat/>
    <w:uiPriority w:val="0"/>
    <w:pPr>
      <w:suppressAutoHyphens/>
      <w:ind w:firstLine="200"/>
      <w:jc w:val="both"/>
    </w:pPr>
    <w:rPr>
      <w:rFonts w:ascii="宋体" w:hAnsi="宋体" w:eastAsia="宋体" w:cs="Times New Roman"/>
      <w:sz w:val="21"/>
      <w:szCs w:val="21"/>
      <w:lang w:val="en-US" w:eastAsia="zh-CN" w:bidi="ar-SA"/>
    </w:rPr>
  </w:style>
  <w:style w:type="paragraph" w:customStyle="1" w:styleId="86">
    <w:name w:val="封面版本"/>
    <w:basedOn w:val="87"/>
    <w:qFormat/>
    <w:uiPriority w:val="0"/>
    <w:rPr>
      <w:b/>
      <w:sz w:val="44"/>
    </w:rPr>
  </w:style>
  <w:style w:type="paragraph" w:customStyle="1" w:styleId="87">
    <w:name w:val="封面文件名称"/>
    <w:basedOn w:val="1"/>
    <w:qFormat/>
    <w:uiPriority w:val="0"/>
    <w:pPr>
      <w:jc w:val="center"/>
    </w:pPr>
    <w:rPr>
      <w:rFonts w:eastAsia="黑体"/>
      <w:sz w:val="52"/>
    </w:rPr>
  </w:style>
  <w:style w:type="paragraph" w:customStyle="1" w:styleId="88">
    <w:name w:val="p0"/>
    <w:basedOn w:val="1"/>
    <w:qFormat/>
    <w:uiPriority w:val="0"/>
    <w:pPr>
      <w:widowControl/>
    </w:pPr>
    <w:rPr>
      <w:kern w:val="0"/>
    </w:rPr>
  </w:style>
  <w:style w:type="paragraph" w:customStyle="1" w:styleId="89">
    <w:name w:val="Char Char Char1 Char Char Char Char Char Char1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90">
    <w:name w:val="正文文本缩进1"/>
    <w:basedOn w:val="1"/>
    <w:next w:val="1"/>
    <w:qFormat/>
    <w:uiPriority w:val="0"/>
    <w:pPr>
      <w:spacing w:after="120"/>
      <w:ind w:left="420"/>
    </w:pPr>
    <w:rPr>
      <w:kern w:val="0"/>
      <w:sz w:val="20"/>
    </w:rPr>
  </w:style>
  <w:style w:type="paragraph" w:customStyle="1" w:styleId="91">
    <w:name w:val="纯文本1"/>
    <w:basedOn w:val="1"/>
    <w:qFormat/>
    <w:uiPriority w:val="0"/>
    <w:pPr>
      <w:snapToGrid w:val="0"/>
    </w:pPr>
    <w:rPr>
      <w:rFonts w:ascii="楷体_GB2312" w:hAnsi="楷体_GB2312" w:eastAsia="楷体_GB2312"/>
      <w:sz w:val="28"/>
      <w:szCs w:val="28"/>
    </w:rPr>
  </w:style>
  <w:style w:type="paragraph" w:customStyle="1" w:styleId="92">
    <w:name w:val="页脚1"/>
    <w:basedOn w:val="1"/>
    <w:qFormat/>
    <w:uiPriority w:val="0"/>
    <w:pPr>
      <w:tabs>
        <w:tab w:val="center" w:pos="4153"/>
        <w:tab w:val="right" w:pos="8306"/>
      </w:tabs>
      <w:snapToGrid w:val="0"/>
      <w:jc w:val="left"/>
    </w:pPr>
    <w:rPr>
      <w:sz w:val="18"/>
    </w:rPr>
  </w:style>
  <w:style w:type="paragraph" w:customStyle="1" w:styleId="93">
    <w:name w:val="正文-表格"/>
    <w:basedOn w:val="1"/>
    <w:qFormat/>
    <w:uiPriority w:val="0"/>
    <w:pPr>
      <w:tabs>
        <w:tab w:val="left" w:pos="456"/>
        <w:tab w:val="right" w:leader="dot" w:pos="9174"/>
      </w:tabs>
      <w:jc w:val="left"/>
    </w:pPr>
    <w:rPr>
      <w:rFonts w:ascii="宋体" w:hAnsi="宋体"/>
      <w:kern w:val="0"/>
      <w:sz w:val="20"/>
    </w:rPr>
  </w:style>
  <w:style w:type="paragraph" w:customStyle="1" w:styleId="94">
    <w:name w:val="Char2"/>
    <w:basedOn w:val="1"/>
    <w:qFormat/>
    <w:uiPriority w:val="0"/>
    <w:pPr>
      <w:tabs>
        <w:tab w:val="left" w:pos="360"/>
      </w:tabs>
      <w:ind w:left="360" w:hanging="360"/>
    </w:pPr>
    <w:rPr>
      <w:sz w:val="18"/>
    </w:rPr>
  </w:style>
  <w:style w:type="paragraph" w:customStyle="1" w:styleId="95">
    <w:name w:val="样式1"/>
    <w:basedOn w:val="1"/>
    <w:qFormat/>
    <w:uiPriority w:val="0"/>
    <w:pPr>
      <w:tabs>
        <w:tab w:val="left" w:pos="709"/>
        <w:tab w:val="left" w:pos="735"/>
      </w:tabs>
      <w:ind w:left="735" w:hanging="735"/>
      <w:textAlignment w:val="baseline"/>
    </w:pPr>
    <w:rPr>
      <w:rFonts w:ascii="宋体" w:hAnsi="宋体"/>
      <w:kern w:val="0"/>
    </w:rPr>
  </w:style>
  <w:style w:type="paragraph" w:customStyle="1" w:styleId="96">
    <w:name w:val="TOC 标题1"/>
    <w:basedOn w:val="4"/>
    <w:next w:val="1"/>
    <w:qFormat/>
    <w:uiPriority w:val="0"/>
    <w:pPr>
      <w:tabs>
        <w:tab w:val="left" w:pos="432"/>
      </w:tabs>
      <w:spacing w:before="480" w:after="0" w:line="276" w:lineRule="auto"/>
      <w:jc w:val="left"/>
    </w:pPr>
    <w:rPr>
      <w:rFonts w:ascii="Cambria" w:hAnsi="Cambria"/>
      <w:bCs/>
      <w:color w:val="365F91"/>
      <w:kern w:val="0"/>
      <w:sz w:val="28"/>
      <w:szCs w:val="28"/>
    </w:rPr>
  </w:style>
  <w:style w:type="paragraph" w:customStyle="1" w:styleId="97">
    <w:name w:val="_Style 53"/>
    <w:basedOn w:val="1"/>
    <w:qFormat/>
    <w:uiPriority w:val="0"/>
  </w:style>
  <w:style w:type="paragraph" w:customStyle="1" w:styleId="98">
    <w:name w:val="列出段落 Char Char"/>
    <w:basedOn w:val="1"/>
    <w:qFormat/>
    <w:uiPriority w:val="0"/>
    <w:pPr>
      <w:ind w:firstLine="420"/>
    </w:pPr>
    <w:rPr>
      <w:rFonts w:ascii="Calibri" w:hAnsi="Calibri"/>
      <w:kern w:val="0"/>
      <w:sz w:val="28"/>
    </w:rPr>
  </w:style>
  <w:style w:type="paragraph" w:customStyle="1" w:styleId="99">
    <w:name w:val="修订2"/>
    <w:unhideWhenUsed/>
    <w:qFormat/>
    <w:uiPriority w:val="99"/>
    <w:rPr>
      <w:rFonts w:ascii="Times New Roman" w:hAnsi="Times New Roman" w:eastAsia="宋体" w:cs="Times New Roman"/>
      <w:kern w:val="2"/>
      <w:sz w:val="21"/>
      <w:lang w:val="en-US" w:eastAsia="zh-CN" w:bidi="ar-SA"/>
    </w:rPr>
  </w:style>
  <w:style w:type="paragraph" w:customStyle="1" w:styleId="100">
    <w:name w:val="普通(网站)11"/>
    <w:basedOn w:val="1"/>
    <w:qFormat/>
    <w:uiPriority w:val="0"/>
    <w:pPr>
      <w:spacing w:before="280" w:after="280"/>
      <w:jc w:val="left"/>
    </w:pPr>
    <w:rPr>
      <w:kern w:val="0"/>
      <w:sz w:val="24"/>
    </w:rPr>
  </w:style>
  <w:style w:type="paragraph" w:customStyle="1" w:styleId="101">
    <w:name w:val="纯文本5"/>
    <w:basedOn w:val="1"/>
    <w:qFormat/>
    <w:uiPriority w:val="0"/>
    <w:pPr>
      <w:spacing w:line="312" w:lineRule="atLeast"/>
      <w:textAlignment w:val="baseline"/>
    </w:pPr>
    <w:rPr>
      <w:rFonts w:ascii="宋体" w:hAnsi="宋体"/>
      <w:kern w:val="0"/>
    </w:rPr>
  </w:style>
  <w:style w:type="paragraph" w:customStyle="1" w:styleId="102">
    <w:name w:val="二级节标题"/>
    <w:next w:val="1"/>
    <w:qFormat/>
    <w:uiPriority w:val="0"/>
    <w:pPr>
      <w:tabs>
        <w:tab w:val="left" w:pos="600"/>
      </w:tabs>
      <w:suppressAutoHyphens/>
      <w:spacing w:before="240" w:after="240" w:line="400" w:lineRule="exact"/>
      <w:ind w:left="709" w:hanging="709"/>
    </w:pPr>
    <w:rPr>
      <w:rFonts w:ascii="Arial" w:hAnsi="Arial" w:eastAsia="黑体" w:cs="Times New Roman"/>
      <w:b/>
      <w:sz w:val="30"/>
      <w:lang w:val="en-US" w:eastAsia="zh-CN" w:bidi="ar-SA"/>
    </w:rPr>
  </w:style>
  <w:style w:type="paragraph" w:customStyle="1" w:styleId="103">
    <w:name w:val="Char Char Char Char Char Char Char Char Char"/>
    <w:basedOn w:val="1"/>
    <w:qFormat/>
    <w:uiPriority w:val="0"/>
    <w:pPr>
      <w:widowControl/>
      <w:spacing w:after="160" w:line="240" w:lineRule="exact"/>
      <w:jc w:val="left"/>
    </w:pPr>
    <w:rPr>
      <w:rFonts w:ascii="Verdana" w:hAnsi="Verdana" w:eastAsia="仿宋_GB2312"/>
      <w:b/>
      <w:i/>
      <w:kern w:val="0"/>
      <w:sz w:val="24"/>
      <w:szCs w:val="24"/>
      <w:lang w:eastAsia="en-US"/>
    </w:rPr>
  </w:style>
  <w:style w:type="paragraph" w:customStyle="1" w:styleId="104">
    <w:name w:val="纯文本12"/>
    <w:basedOn w:val="1"/>
    <w:qFormat/>
    <w:uiPriority w:val="0"/>
    <w:pPr>
      <w:spacing w:line="312" w:lineRule="atLeast"/>
      <w:textAlignment w:val="baseline"/>
    </w:pPr>
    <w:rPr>
      <w:rFonts w:ascii="宋体" w:hAnsi="宋体" w:cs="Courier New"/>
      <w:szCs w:val="21"/>
    </w:rPr>
  </w:style>
  <w:style w:type="paragraph" w:customStyle="1" w:styleId="105">
    <w:name w:val="默认段落字体 Para Char"/>
    <w:basedOn w:val="1"/>
    <w:qFormat/>
    <w:uiPriority w:val="0"/>
    <w:rPr>
      <w:rFonts w:ascii="Tahoma" w:hAnsi="Tahoma"/>
      <w:sz w:val="24"/>
    </w:rPr>
  </w:style>
  <w:style w:type="paragraph" w:customStyle="1" w:styleId="106">
    <w:name w:val="unnamed1"/>
    <w:basedOn w:val="1"/>
    <w:qFormat/>
    <w:uiPriority w:val="0"/>
    <w:pPr>
      <w:widowControl/>
      <w:spacing w:before="280" w:after="280" w:line="320" w:lineRule="atLeast"/>
      <w:ind w:firstLine="200"/>
      <w:jc w:val="left"/>
    </w:pPr>
    <w:rPr>
      <w:rFonts w:ascii="宋体" w:hAnsi="宋体"/>
      <w:kern w:val="0"/>
      <w:sz w:val="18"/>
      <w:szCs w:val="18"/>
    </w:rPr>
  </w:style>
  <w:style w:type="paragraph" w:customStyle="1" w:styleId="107">
    <w:name w:val="一级节标题"/>
    <w:next w:val="1"/>
    <w:qFormat/>
    <w:uiPriority w:val="0"/>
    <w:pPr>
      <w:suppressAutoHyphens/>
      <w:spacing w:before="360" w:after="360" w:line="400" w:lineRule="exact"/>
    </w:pPr>
    <w:rPr>
      <w:rFonts w:ascii="宋体" w:hAnsi="宋体" w:eastAsia="宋体" w:cs="Times New Roman"/>
      <w:b/>
      <w:sz w:val="32"/>
      <w:lang w:val="en-US" w:eastAsia="zh-CN" w:bidi="ar-SA"/>
    </w:rPr>
  </w:style>
  <w:style w:type="paragraph" w:customStyle="1" w:styleId="108">
    <w:name w:val="正文首行缩进1"/>
    <w:basedOn w:val="55"/>
    <w:qFormat/>
    <w:uiPriority w:val="0"/>
    <w:pPr>
      <w:ind w:firstLine="420"/>
    </w:pPr>
    <w:rPr>
      <w:kern w:val="0"/>
      <w:sz w:val="20"/>
    </w:rPr>
  </w:style>
  <w:style w:type="paragraph" w:customStyle="1" w:styleId="109">
    <w:name w:val="_Style 37"/>
    <w:basedOn w:val="1"/>
    <w:qFormat/>
    <w:uiPriority w:val="0"/>
    <w:rPr>
      <w:rFonts w:ascii="黑体" w:hAnsi="黑体" w:eastAsia="黑体"/>
      <w:b/>
      <w:kern w:val="0"/>
      <w:sz w:val="13"/>
    </w:rPr>
  </w:style>
  <w:style w:type="paragraph" w:customStyle="1" w:styleId="110">
    <w:name w:val="批注主题1"/>
    <w:basedOn w:val="71"/>
    <w:next w:val="71"/>
    <w:qFormat/>
    <w:uiPriority w:val="0"/>
    <w:rPr>
      <w:b/>
      <w:bCs/>
    </w:rPr>
  </w:style>
  <w:style w:type="paragraph" w:customStyle="1" w:styleId="111">
    <w:name w:val="索引"/>
    <w:basedOn w:val="1"/>
    <w:qFormat/>
    <w:uiPriority w:val="0"/>
    <w:pPr>
      <w:suppressLineNumbers/>
    </w:pPr>
    <w:rPr>
      <w:rFonts w:cs="Mangal"/>
    </w:rPr>
  </w:style>
  <w:style w:type="paragraph" w:customStyle="1" w:styleId="112">
    <w:name w:val="图文"/>
    <w:basedOn w:val="1"/>
    <w:qFormat/>
    <w:uiPriority w:val="0"/>
    <w:pPr>
      <w:snapToGrid w:val="0"/>
      <w:spacing w:after="50" w:line="360" w:lineRule="auto"/>
    </w:pPr>
    <w:rPr>
      <w:sz w:val="24"/>
    </w:rPr>
  </w:style>
  <w:style w:type="paragraph" w:customStyle="1" w:styleId="113">
    <w:name w:val="正文文本 31"/>
    <w:basedOn w:val="1"/>
    <w:qFormat/>
    <w:uiPriority w:val="0"/>
    <w:pPr>
      <w:spacing w:after="120"/>
    </w:pPr>
    <w:rPr>
      <w:sz w:val="16"/>
    </w:rPr>
  </w:style>
  <w:style w:type="paragraph" w:customStyle="1" w:styleId="114">
    <w:name w:val="文档结构图11"/>
    <w:basedOn w:val="1"/>
    <w:qFormat/>
    <w:uiPriority w:val="0"/>
    <w:rPr>
      <w:rFonts w:ascii="宋体" w:hAnsi="宋体"/>
      <w:sz w:val="18"/>
      <w:szCs w:val="18"/>
    </w:rPr>
  </w:style>
  <w:style w:type="paragraph" w:customStyle="1" w:styleId="115">
    <w:name w:val="_Style 4"/>
    <w:basedOn w:val="1"/>
    <w:next w:val="116"/>
    <w:qFormat/>
    <w:uiPriority w:val="0"/>
    <w:pPr>
      <w:ind w:firstLine="420"/>
    </w:pPr>
    <w:rPr>
      <w:rFonts w:ascii="Calibri" w:hAnsi="Calibri"/>
      <w:kern w:val="0"/>
      <w:sz w:val="20"/>
      <w:lang w:val="zh-CN"/>
    </w:rPr>
  </w:style>
  <w:style w:type="paragraph" w:customStyle="1" w:styleId="116">
    <w:name w:val="列出段落5"/>
    <w:basedOn w:val="1"/>
    <w:qFormat/>
    <w:uiPriority w:val="0"/>
    <w:pPr>
      <w:ind w:firstLine="420"/>
    </w:pPr>
    <w:rPr>
      <w:rFonts w:ascii="Calibri" w:hAnsi="Calibri"/>
      <w:szCs w:val="22"/>
    </w:rPr>
  </w:style>
  <w:style w:type="paragraph" w:customStyle="1" w:styleId="117">
    <w:name w:val="_Style 2"/>
    <w:basedOn w:val="1"/>
    <w:qFormat/>
    <w:uiPriority w:val="34"/>
    <w:pPr>
      <w:ind w:firstLine="420" w:firstLineChars="200"/>
    </w:pPr>
  </w:style>
  <w:style w:type="paragraph" w:customStyle="1" w:styleId="118">
    <w:name w:val="框架内容"/>
    <w:basedOn w:val="1"/>
    <w:qFormat/>
    <w:uiPriority w:val="0"/>
  </w:style>
  <w:style w:type="paragraph" w:customStyle="1" w:styleId="119">
    <w:name w:val="样式 首行缩进:  0.75 厘米 Char Char Char Char Char Char"/>
    <w:basedOn w:val="1"/>
    <w:qFormat/>
    <w:uiPriority w:val="0"/>
    <w:pPr>
      <w:spacing w:line="480" w:lineRule="auto"/>
      <w:ind w:firstLine="425"/>
    </w:pPr>
    <w:rPr>
      <w:sz w:val="24"/>
    </w:rPr>
  </w:style>
  <w:style w:type="paragraph" w:customStyle="1" w:styleId="120">
    <w:name w:val="批注文字2"/>
    <w:basedOn w:val="1"/>
    <w:qFormat/>
    <w:uiPriority w:val="0"/>
    <w:pPr>
      <w:jc w:val="left"/>
    </w:pPr>
  </w:style>
  <w:style w:type="paragraph" w:customStyle="1" w:styleId="121">
    <w:name w:val="_Style 1"/>
    <w:basedOn w:val="1"/>
    <w:qFormat/>
    <w:uiPriority w:val="0"/>
    <w:pPr>
      <w:ind w:firstLine="420"/>
    </w:pPr>
  </w:style>
  <w:style w:type="paragraph" w:customStyle="1" w:styleId="122">
    <w:name w:val="_Style 23"/>
    <w:basedOn w:val="1"/>
    <w:qFormat/>
    <w:uiPriority w:val="0"/>
  </w:style>
  <w:style w:type="paragraph" w:customStyle="1" w:styleId="123">
    <w:name w:val="纯文本2"/>
    <w:basedOn w:val="1"/>
    <w:qFormat/>
    <w:uiPriority w:val="0"/>
    <w:rPr>
      <w:rFonts w:ascii="宋体" w:hAnsi="宋体"/>
    </w:rPr>
  </w:style>
  <w:style w:type="paragraph" w:customStyle="1" w:styleId="124">
    <w:name w:val="正文文本缩进 32"/>
    <w:basedOn w:val="1"/>
    <w:qFormat/>
    <w:uiPriority w:val="0"/>
    <w:pPr>
      <w:snapToGrid w:val="0"/>
      <w:spacing w:before="25" w:after="25" w:line="440" w:lineRule="exact"/>
      <w:ind w:firstLine="561"/>
    </w:pPr>
    <w:rPr>
      <w:rFonts w:ascii="宋体" w:hAnsi="宋体"/>
      <w:szCs w:val="24"/>
    </w:rPr>
  </w:style>
  <w:style w:type="paragraph" w:customStyle="1" w:styleId="125">
    <w:name w:val="方案正文"/>
    <w:basedOn w:val="1"/>
    <w:qFormat/>
    <w:uiPriority w:val="0"/>
    <w:pPr>
      <w:spacing w:before="156" w:line="360" w:lineRule="auto"/>
      <w:ind w:firstLine="359"/>
      <w:jc w:val="left"/>
    </w:pPr>
    <w:rPr>
      <w:rFonts w:ascii="Arial" w:hAnsi="Arial"/>
      <w:kern w:val="0"/>
      <w:sz w:val="24"/>
    </w:rPr>
  </w:style>
  <w:style w:type="paragraph" w:customStyle="1" w:styleId="126">
    <w:name w:val="金宏图题注"/>
    <w:basedOn w:val="46"/>
    <w:qFormat/>
    <w:uiPriority w:val="0"/>
    <w:pPr>
      <w:spacing w:before="0" w:after="0"/>
      <w:jc w:val="center"/>
    </w:pPr>
    <w:rPr>
      <w:rFonts w:ascii="宋体" w:hAnsi="宋体" w:eastAsia="宋体" w:cs="宋体"/>
      <w:b/>
      <w:bCs/>
      <w:sz w:val="24"/>
    </w:rPr>
  </w:style>
  <w:style w:type="paragraph" w:customStyle="1" w:styleId="127">
    <w:name w:val="批注框文本11"/>
    <w:basedOn w:val="1"/>
    <w:qFormat/>
    <w:uiPriority w:val="0"/>
    <w:rPr>
      <w:sz w:val="18"/>
      <w:szCs w:val="18"/>
    </w:rPr>
  </w:style>
  <w:style w:type="paragraph" w:customStyle="1" w:styleId="128">
    <w:name w:val="列表段落1"/>
    <w:basedOn w:val="1"/>
    <w:qFormat/>
    <w:uiPriority w:val="0"/>
    <w:pPr>
      <w:ind w:firstLine="420"/>
    </w:pPr>
  </w:style>
  <w:style w:type="paragraph" w:customStyle="1" w:styleId="129">
    <w:name w:val="页眉11"/>
    <w:basedOn w:val="1"/>
    <w:qFormat/>
    <w:uiPriority w:val="0"/>
    <w:pPr>
      <w:jc w:val="right"/>
    </w:pPr>
    <w:rPr>
      <w:rFonts w:ascii="Arial" w:hAnsi="Arial"/>
      <w:b/>
      <w:kern w:val="0"/>
      <w:sz w:val="36"/>
      <w:lang w:eastAsia="en-US"/>
    </w:rPr>
  </w:style>
  <w:style w:type="paragraph" w:customStyle="1" w:styleId="130">
    <w:name w:val="中等深浅网格 21"/>
    <w:qFormat/>
    <w:uiPriority w:val="0"/>
    <w:pPr>
      <w:suppressAutoHyphens/>
    </w:pPr>
    <w:rPr>
      <w:rFonts w:ascii="Calibri" w:hAnsi="Calibri" w:eastAsia="宋体" w:cs="Times New Roman"/>
      <w:sz w:val="22"/>
      <w:lang w:val="en-US" w:eastAsia="zh-CN" w:bidi="ar-SA"/>
    </w:rPr>
  </w:style>
  <w:style w:type="paragraph" w:customStyle="1" w:styleId="131">
    <w:name w:val="列出段落3"/>
    <w:basedOn w:val="1"/>
    <w:qFormat/>
    <w:uiPriority w:val="0"/>
    <w:pPr>
      <w:ind w:firstLine="420"/>
    </w:pPr>
    <w:rPr>
      <w:rFonts w:ascii="Calibri" w:hAnsi="Calibri"/>
    </w:rPr>
  </w:style>
  <w:style w:type="paragraph" w:customStyle="1" w:styleId="132">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sz w:val="24"/>
    </w:rPr>
  </w:style>
  <w:style w:type="paragraph" w:customStyle="1" w:styleId="133">
    <w:name w:val="列出段落11"/>
    <w:basedOn w:val="1"/>
    <w:qFormat/>
    <w:uiPriority w:val="0"/>
    <w:pPr>
      <w:ind w:firstLine="420"/>
    </w:pPr>
    <w:rPr>
      <w:rFonts w:ascii="Calibri" w:hAnsi="Calibri"/>
    </w:rPr>
  </w:style>
  <w:style w:type="paragraph" w:customStyle="1" w:styleId="134">
    <w:name w:val="纯文本4"/>
    <w:basedOn w:val="1"/>
    <w:qFormat/>
    <w:uiPriority w:val="0"/>
    <w:pPr>
      <w:spacing w:line="312" w:lineRule="atLeast"/>
      <w:textAlignment w:val="baseline"/>
    </w:pPr>
    <w:rPr>
      <w:rFonts w:ascii="宋体" w:hAnsi="宋体"/>
    </w:rPr>
  </w:style>
  <w:style w:type="paragraph" w:customStyle="1" w:styleId="135">
    <w:name w:val="Default Text"/>
    <w:basedOn w:val="1"/>
    <w:qFormat/>
    <w:uiPriority w:val="0"/>
    <w:pPr>
      <w:widowControl/>
      <w:jc w:val="left"/>
    </w:pPr>
    <w:rPr>
      <w:rFonts w:ascii="Arial" w:hAnsi="Arial"/>
      <w:kern w:val="0"/>
      <w:sz w:val="20"/>
      <w:lang w:eastAsia="en-US"/>
    </w:rPr>
  </w:style>
  <w:style w:type="paragraph" w:customStyle="1" w:styleId="136">
    <w:name w:val="InfoBlue"/>
    <w:basedOn w:val="1"/>
    <w:next w:val="69"/>
    <w:qFormat/>
    <w:uiPriority w:val="0"/>
    <w:pPr>
      <w:spacing w:after="120" w:line="240" w:lineRule="atLeast"/>
      <w:jc w:val="right"/>
    </w:pPr>
    <w:rPr>
      <w:sz w:val="24"/>
    </w:rPr>
  </w:style>
  <w:style w:type="paragraph" w:customStyle="1" w:styleId="137">
    <w:name w:val="批注主题2"/>
    <w:basedOn w:val="120"/>
    <w:next w:val="120"/>
    <w:qFormat/>
    <w:uiPriority w:val="0"/>
    <w:rPr>
      <w:rFonts w:ascii="楷体_GB2312" w:hAnsi="楷体_GB2312" w:eastAsia="楷体_GB2312"/>
      <w:b/>
      <w:bCs/>
      <w:kern w:val="0"/>
      <w:sz w:val="32"/>
      <w:szCs w:val="32"/>
    </w:rPr>
  </w:style>
  <w:style w:type="paragraph" w:customStyle="1" w:styleId="138">
    <w:name w:val="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9">
    <w:name w:val="正文首行缩进 21"/>
    <w:basedOn w:val="69"/>
    <w:qFormat/>
    <w:uiPriority w:val="0"/>
    <w:pPr>
      <w:spacing w:line="360" w:lineRule="auto"/>
      <w:ind w:firstLine="200"/>
    </w:pPr>
  </w:style>
  <w:style w:type="paragraph" w:customStyle="1" w:styleId="140">
    <w:name w:val="Table Paragraph"/>
    <w:basedOn w:val="1"/>
    <w:qFormat/>
    <w:uiPriority w:val="1"/>
    <w:pPr>
      <w:jc w:val="left"/>
    </w:pPr>
    <w:rPr>
      <w:rFonts w:ascii="Calibri" w:hAnsi="Calibri"/>
      <w:kern w:val="0"/>
      <w:sz w:val="22"/>
      <w:szCs w:val="22"/>
      <w:lang w:eastAsia="en-US"/>
    </w:rPr>
  </w:style>
  <w:style w:type="paragraph" w:customStyle="1" w:styleId="141">
    <w:name w:val="_Style 5"/>
    <w:basedOn w:val="1"/>
    <w:qFormat/>
    <w:uiPriority w:val="34"/>
    <w:pPr>
      <w:ind w:firstLine="420" w:firstLineChars="200"/>
    </w:pPr>
  </w:style>
  <w:style w:type="paragraph" w:customStyle="1" w:styleId="142">
    <w:name w:val="标题一"/>
    <w:basedOn w:val="1"/>
    <w:qFormat/>
    <w:uiPriority w:val="0"/>
    <w:pPr>
      <w:numPr>
        <w:ilvl w:val="0"/>
        <w:numId w:val="1"/>
      </w:numPr>
      <w:spacing w:beforeLines="50" w:afterLines="50" w:line="360" w:lineRule="auto"/>
      <w:ind w:left="0" w:firstLine="0"/>
      <w:jc w:val="left"/>
      <w:outlineLvl w:val="0"/>
    </w:pPr>
    <w:rPr>
      <w:rFonts w:ascii="幼圆"/>
      <w:sz w:val="28"/>
      <w:szCs w:val="28"/>
    </w:rPr>
  </w:style>
  <w:style w:type="paragraph" w:customStyle="1" w:styleId="143">
    <w:name w:val="列表段落2"/>
    <w:basedOn w:val="1"/>
    <w:qFormat/>
    <w:uiPriority w:val="34"/>
    <w:pPr>
      <w:ind w:firstLine="420" w:firstLineChars="200"/>
    </w:pPr>
  </w:style>
  <w:style w:type="paragraph" w:customStyle="1" w:styleId="144">
    <w:name w:val="列表段落3"/>
    <w:basedOn w:val="1"/>
    <w:qFormat/>
    <w:uiPriority w:val="34"/>
    <w:pPr>
      <w:ind w:firstLine="420" w:firstLineChars="200"/>
    </w:pPr>
  </w:style>
  <w:style w:type="paragraph" w:customStyle="1" w:styleId="145">
    <w:name w:val="正文段落"/>
    <w:basedOn w:val="1"/>
    <w:qFormat/>
    <w:uiPriority w:val="0"/>
    <w:pPr>
      <w:ind w:firstLine="200" w:firstLineChars="200"/>
    </w:pPr>
    <w:rPr>
      <w:rFonts w:cs="黑体"/>
      <w:szCs w:val="22"/>
    </w:rPr>
  </w:style>
  <w:style w:type="paragraph" w:customStyle="1" w:styleId="146">
    <w:name w:val="表格标题"/>
    <w:basedOn w:val="3"/>
    <w:next w:val="3"/>
    <w:qFormat/>
    <w:uiPriority w:val="0"/>
    <w:pPr>
      <w:spacing w:after="0"/>
      <w:jc w:val="center"/>
    </w:pPr>
    <w:rPr>
      <w:rFonts w:ascii="Times New Roman" w:hAnsi="Times New Roman" w:eastAsia="楷体_GB2312"/>
      <w:kern w:val="21"/>
      <w:szCs w:val="21"/>
    </w:rPr>
  </w:style>
  <w:style w:type="paragraph" w:customStyle="1" w:styleId="147">
    <w:name w:val="列出段落6"/>
    <w:basedOn w:val="1"/>
    <w:qFormat/>
    <w:uiPriority w:val="0"/>
    <w:pPr>
      <w:ind w:firstLine="420" w:firstLineChars="200"/>
    </w:pPr>
    <w:rPr>
      <w:rFonts w:ascii="Calibri" w:hAnsi="Calibri"/>
    </w:rPr>
  </w:style>
  <w:style w:type="paragraph" w:customStyle="1" w:styleId="148">
    <w:name w:val="页脚2"/>
    <w:basedOn w:val="1"/>
    <w:qFormat/>
    <w:uiPriority w:val="0"/>
    <w:pPr>
      <w:tabs>
        <w:tab w:val="center" w:pos="4153"/>
        <w:tab w:val="right" w:pos="8306"/>
      </w:tabs>
      <w:snapToGrid w:val="0"/>
      <w:jc w:val="left"/>
    </w:pPr>
    <w:rPr>
      <w:sz w:val="18"/>
    </w:rPr>
  </w:style>
  <w:style w:type="character" w:customStyle="1" w:styleId="149">
    <w:name w:val="批注文字 Char1"/>
    <w:qFormat/>
    <w:uiPriority w:val="0"/>
    <w:rPr>
      <w:sz w:val="28"/>
    </w:rPr>
  </w:style>
  <w:style w:type="character" w:customStyle="1" w:styleId="150">
    <w:name w:val="标题 4 Char"/>
    <w:qFormat/>
    <w:uiPriority w:val="0"/>
    <w:rPr>
      <w:rFonts w:ascii="Times New Roman" w:hAnsi="Times New Roman" w:eastAsia="宋体" w:cs="Times New Roman"/>
      <w:b/>
      <w:color w:val="000000"/>
      <w:kern w:val="0"/>
      <w:sz w:val="20"/>
      <w:szCs w:val="20"/>
    </w:rPr>
  </w:style>
  <w:style w:type="character" w:customStyle="1" w:styleId="151">
    <w:name w:val="正文（首行缩进2字符） Char Char"/>
    <w:qFormat/>
    <w:uiPriority w:val="0"/>
    <w:rPr>
      <w:rFonts w:ascii="Arial" w:hAnsi="Arial" w:eastAsia="宋体" w:cs="Times New Roman"/>
      <w:kern w:val="0"/>
      <w:sz w:val="24"/>
      <w:szCs w:val="20"/>
    </w:rPr>
  </w:style>
  <w:style w:type="character" w:customStyle="1" w:styleId="152">
    <w:name w:val="日期 Char"/>
    <w:qFormat/>
    <w:uiPriority w:val="0"/>
    <w:rPr>
      <w:rFonts w:ascii="Times New Roman" w:hAnsi="Times New Roman" w:eastAsia="宋体" w:cs="Times New Roman"/>
      <w:szCs w:val="20"/>
    </w:rPr>
  </w:style>
  <w:style w:type="character" w:customStyle="1" w:styleId="153">
    <w:name w:val="ListLabel 1"/>
    <w:qFormat/>
    <w:uiPriority w:val="0"/>
    <w:rPr>
      <w:rFonts w:ascii="宋体" w:hAnsi="宋体" w:eastAsia="宋体"/>
      <w:b/>
      <w:sz w:val="24"/>
    </w:rPr>
  </w:style>
  <w:style w:type="character" w:customStyle="1" w:styleId="154">
    <w:name w:val="批注框文本 Char"/>
    <w:qFormat/>
    <w:uiPriority w:val="0"/>
    <w:rPr>
      <w:rFonts w:ascii="Times New Roman" w:hAnsi="Times New Roman" w:eastAsia="宋体" w:cs="Times New Roman"/>
      <w:sz w:val="18"/>
      <w:szCs w:val="18"/>
    </w:rPr>
  </w:style>
  <w:style w:type="character" w:customStyle="1" w:styleId="155">
    <w:name w:val="h3 Char"/>
    <w:qFormat/>
    <w:uiPriority w:val="0"/>
    <w:rPr>
      <w:rFonts w:ascii="宋体" w:hAnsi="宋体" w:eastAsia="宋体"/>
      <w:b/>
      <w:kern w:val="2"/>
      <w:sz w:val="28"/>
      <w:lang w:val="en-US" w:eastAsia="zh-CN"/>
    </w:rPr>
  </w:style>
  <w:style w:type="character" w:customStyle="1" w:styleId="156">
    <w:name w:val="正文首行缩进 Char"/>
    <w:qFormat/>
    <w:uiPriority w:val="0"/>
    <w:rPr>
      <w:rFonts w:ascii="Times New Roman" w:hAnsi="Times New Roman" w:eastAsia="宋体" w:cs="Times New Roman"/>
      <w:kern w:val="0"/>
      <w:sz w:val="20"/>
      <w:szCs w:val="20"/>
    </w:rPr>
  </w:style>
  <w:style w:type="character" w:customStyle="1" w:styleId="157">
    <w:name w:val="标题 8 Char"/>
    <w:qFormat/>
    <w:uiPriority w:val="0"/>
    <w:rPr>
      <w:rFonts w:ascii="宋体" w:hAnsi="宋体" w:eastAsia="宋体" w:cs="Times New Roman"/>
      <w:i/>
      <w:kern w:val="0"/>
      <w:sz w:val="24"/>
      <w:szCs w:val="20"/>
    </w:rPr>
  </w:style>
  <w:style w:type="character" w:customStyle="1" w:styleId="158">
    <w:name w:val="日期 Char1"/>
    <w:qFormat/>
    <w:uiPriority w:val="0"/>
    <w:rPr>
      <w:rFonts w:ascii="宋体" w:hAnsi="宋体" w:eastAsia="宋体" w:cs="Times New Roman"/>
      <w:sz w:val="24"/>
      <w:szCs w:val="24"/>
    </w:rPr>
  </w:style>
  <w:style w:type="character" w:customStyle="1" w:styleId="159">
    <w:name w:val="ListLabel 3"/>
    <w:qFormat/>
    <w:uiPriority w:val="0"/>
    <w:rPr>
      <w:rFonts w:cs="Times New Roman"/>
    </w:rPr>
  </w:style>
  <w:style w:type="character" w:customStyle="1" w:styleId="160">
    <w:name w:val="纯文本 Char2"/>
    <w:qFormat/>
    <w:uiPriority w:val="0"/>
    <w:rPr>
      <w:rFonts w:ascii="宋体" w:hAnsi="宋体" w:eastAsia="宋体"/>
      <w:kern w:val="2"/>
      <w:sz w:val="21"/>
    </w:rPr>
  </w:style>
  <w:style w:type="character" w:customStyle="1" w:styleId="161">
    <w:name w:val="font21"/>
    <w:qFormat/>
    <w:uiPriority w:val="0"/>
    <w:rPr>
      <w:rFonts w:ascii="宋体" w:hAnsi="宋体" w:eastAsia="宋体"/>
      <w:color w:val="000000"/>
      <w:sz w:val="24"/>
      <w:u w:val="none"/>
    </w:rPr>
  </w:style>
  <w:style w:type="character" w:customStyle="1" w:styleId="162">
    <w:name w:val="标题 9 Char"/>
    <w:qFormat/>
    <w:uiPriority w:val="0"/>
    <w:rPr>
      <w:rFonts w:ascii="宋体" w:hAnsi="宋体" w:eastAsia="宋体" w:cs="Times New Roman"/>
      <w:b/>
      <w:i/>
      <w:kern w:val="0"/>
      <w:sz w:val="18"/>
      <w:szCs w:val="20"/>
    </w:rPr>
  </w:style>
  <w:style w:type="character" w:customStyle="1" w:styleId="163">
    <w:name w:val="ListLabel 9"/>
    <w:qFormat/>
    <w:uiPriority w:val="0"/>
    <w:rPr>
      <w:rFonts w:cs="Times New Roman"/>
    </w:rPr>
  </w:style>
  <w:style w:type="character" w:customStyle="1" w:styleId="164">
    <w:name w:val="Char Char Char Char Char"/>
    <w:qFormat/>
    <w:uiPriority w:val="0"/>
    <w:rPr>
      <w:rFonts w:ascii="Times New Roman" w:hAnsi="Times New Roman" w:eastAsia="宋体" w:cs="Times New Roman"/>
      <w:kern w:val="0"/>
      <w:sz w:val="20"/>
      <w:szCs w:val="20"/>
    </w:rPr>
  </w:style>
  <w:style w:type="character" w:customStyle="1" w:styleId="165">
    <w:name w:val="普通文字 Char Char2"/>
    <w:qFormat/>
    <w:uiPriority w:val="0"/>
    <w:rPr>
      <w:rFonts w:ascii="宋体" w:hAnsi="宋体" w:eastAsia="宋体"/>
      <w:kern w:val="2"/>
      <w:sz w:val="21"/>
      <w:lang w:val="en-US" w:eastAsia="zh-CN"/>
    </w:rPr>
  </w:style>
  <w:style w:type="character" w:customStyle="1" w:styleId="166">
    <w:name w:val="Char Char7"/>
    <w:qFormat/>
    <w:uiPriority w:val="0"/>
    <w:rPr>
      <w:rFonts w:eastAsia="宋体"/>
      <w:kern w:val="2"/>
      <w:sz w:val="18"/>
      <w:lang w:val="en-US" w:eastAsia="zh-CN"/>
    </w:rPr>
  </w:style>
  <w:style w:type="character" w:customStyle="1" w:styleId="167">
    <w:name w:val="标题 2 Char"/>
    <w:link w:val="5"/>
    <w:qFormat/>
    <w:uiPriority w:val="0"/>
    <w:rPr>
      <w:rFonts w:ascii="Arial" w:hAnsi="Arial" w:eastAsia="黑体"/>
      <w:sz w:val="32"/>
    </w:rPr>
  </w:style>
  <w:style w:type="character" w:customStyle="1" w:styleId="168">
    <w:name w:val="Char Char12"/>
    <w:qFormat/>
    <w:uiPriority w:val="0"/>
    <w:rPr>
      <w:rFonts w:eastAsia="宋体"/>
      <w:b/>
      <w:kern w:val="2"/>
      <w:sz w:val="28"/>
      <w:lang w:val="en-US" w:eastAsia="zh-CN"/>
    </w:rPr>
  </w:style>
  <w:style w:type="character" w:customStyle="1" w:styleId="169">
    <w:name w:val="纯文本 Char"/>
    <w:qFormat/>
    <w:uiPriority w:val="0"/>
    <w:rPr>
      <w:rFonts w:ascii="宋体" w:hAnsi="宋体" w:eastAsia="宋体" w:cs="Courier New"/>
      <w:szCs w:val="21"/>
    </w:rPr>
  </w:style>
  <w:style w:type="character" w:customStyle="1" w:styleId="170">
    <w:name w:val="ListLabel 2"/>
    <w:qFormat/>
    <w:uiPriority w:val="0"/>
    <w:rPr>
      <w:rFonts w:cs="Times New Roman"/>
    </w:rPr>
  </w:style>
  <w:style w:type="character" w:customStyle="1" w:styleId="171">
    <w:name w:val="列出段落 Char Char Char Char"/>
    <w:qFormat/>
    <w:uiPriority w:val="0"/>
    <w:rPr>
      <w:rFonts w:ascii="Calibri" w:hAnsi="Calibri" w:eastAsia="宋体" w:cs="Times New Roman"/>
      <w:kern w:val="0"/>
      <w:sz w:val="20"/>
      <w:szCs w:val="20"/>
    </w:rPr>
  </w:style>
  <w:style w:type="character" w:customStyle="1" w:styleId="172">
    <w:name w:val="标题 3 Char"/>
    <w:link w:val="6"/>
    <w:qFormat/>
    <w:uiPriority w:val="0"/>
    <w:rPr>
      <w:rFonts w:ascii="宋体" w:hAnsi="宋体"/>
      <w:b/>
      <w:kern w:val="0"/>
      <w:sz w:val="24"/>
    </w:rPr>
  </w:style>
  <w:style w:type="character" w:customStyle="1" w:styleId="173">
    <w:name w:val="样式 不明显参考1 + 加粗 黑色 非小型大写字母"/>
    <w:qFormat/>
    <w:uiPriority w:val="0"/>
    <w:rPr>
      <w:rFonts w:ascii="Arial" w:hAnsi="Arial" w:eastAsia="宋体"/>
      <w:b/>
      <w:color w:val="000000"/>
      <w:kern w:val="2"/>
      <w:sz w:val="36"/>
    </w:rPr>
  </w:style>
  <w:style w:type="character" w:customStyle="1" w:styleId="174">
    <w:name w:val="索引链接"/>
    <w:qFormat/>
    <w:uiPriority w:val="0"/>
  </w:style>
  <w:style w:type="character" w:customStyle="1" w:styleId="175">
    <w:name w:val="批注文字 Char4"/>
    <w:link w:val="15"/>
    <w:qFormat/>
    <w:uiPriority w:val="99"/>
    <w:rPr>
      <w:kern w:val="2"/>
      <w:sz w:val="21"/>
    </w:rPr>
  </w:style>
  <w:style w:type="character" w:customStyle="1" w:styleId="176">
    <w:name w:val="批注框文本 Char1"/>
    <w:qFormat/>
    <w:uiPriority w:val="0"/>
    <w:rPr>
      <w:rFonts w:ascii="Times New Roman" w:hAnsi="Times New Roman" w:eastAsia="宋体" w:cs="Times New Roman"/>
      <w:sz w:val="18"/>
      <w:szCs w:val="18"/>
    </w:rPr>
  </w:style>
  <w:style w:type="character" w:customStyle="1" w:styleId="177">
    <w:name w:val="批注文字 Char"/>
    <w:qFormat/>
    <w:uiPriority w:val="0"/>
    <w:rPr>
      <w:rFonts w:ascii="Times New Roman" w:hAnsi="Times New Roman" w:eastAsia="宋体" w:cs="Times New Roman"/>
      <w:szCs w:val="20"/>
    </w:rPr>
  </w:style>
  <w:style w:type="character" w:customStyle="1" w:styleId="178">
    <w:name w:val="Char Char27"/>
    <w:qFormat/>
    <w:uiPriority w:val="0"/>
    <w:rPr>
      <w:rFonts w:ascii="Arial" w:hAnsi="Arial" w:eastAsia="黑体"/>
      <w:b/>
      <w:kern w:val="2"/>
      <w:sz w:val="32"/>
      <w:lang w:val="en-US" w:eastAsia="zh-CN"/>
    </w:rPr>
  </w:style>
  <w:style w:type="character" w:customStyle="1" w:styleId="179">
    <w:name w:val="Char Char14"/>
    <w:qFormat/>
    <w:uiPriority w:val="0"/>
    <w:rPr>
      <w:rFonts w:eastAsia="宋体"/>
      <w:b/>
      <w:kern w:val="2"/>
      <w:sz w:val="32"/>
      <w:lang w:val="en-US" w:eastAsia="zh-CN"/>
    </w:rPr>
  </w:style>
  <w:style w:type="character" w:customStyle="1" w:styleId="180">
    <w:name w:val="批注文字 Char Char"/>
    <w:qFormat/>
    <w:uiPriority w:val="0"/>
    <w:rPr>
      <w:rFonts w:eastAsia="宋体"/>
      <w:kern w:val="2"/>
      <w:sz w:val="21"/>
      <w:lang w:val="en-US" w:eastAsia="zh-CN"/>
    </w:rPr>
  </w:style>
  <w:style w:type="character" w:customStyle="1" w:styleId="181">
    <w:name w:val="标题 2 Char1"/>
    <w:qFormat/>
    <w:uiPriority w:val="0"/>
    <w:rPr>
      <w:rFonts w:ascii="Arial" w:hAnsi="Arial" w:eastAsia="黑体"/>
      <w:b/>
      <w:kern w:val="2"/>
      <w:sz w:val="32"/>
      <w:lang w:val="en-US" w:eastAsia="zh-CN"/>
    </w:rPr>
  </w:style>
  <w:style w:type="character" w:customStyle="1" w:styleId="182">
    <w:name w:val="正文文本缩进 Char"/>
    <w:qFormat/>
    <w:uiPriority w:val="0"/>
    <w:rPr>
      <w:rFonts w:ascii="Times New Roman" w:hAnsi="Times New Roman" w:eastAsia="宋体" w:cs="Times New Roman"/>
      <w:kern w:val="0"/>
      <w:sz w:val="20"/>
      <w:szCs w:val="20"/>
    </w:rPr>
  </w:style>
  <w:style w:type="character" w:customStyle="1" w:styleId="183">
    <w:name w:val="标题 7 Char"/>
    <w:qFormat/>
    <w:uiPriority w:val="0"/>
    <w:rPr>
      <w:rFonts w:ascii="宋体" w:hAnsi="宋体" w:eastAsia="宋体" w:cs="Times New Roman"/>
      <w:kern w:val="0"/>
      <w:sz w:val="24"/>
      <w:szCs w:val="20"/>
    </w:rPr>
  </w:style>
  <w:style w:type="character" w:customStyle="1" w:styleId="184">
    <w:name w:val="正文文本缩进 3 Char"/>
    <w:qFormat/>
    <w:uiPriority w:val="0"/>
    <w:rPr>
      <w:rFonts w:ascii="宋体" w:hAnsi="宋体" w:eastAsia="宋体" w:cs="Times New Roman"/>
      <w:szCs w:val="24"/>
    </w:rPr>
  </w:style>
  <w:style w:type="character" w:customStyle="1" w:styleId="185">
    <w:name w:val="H4 Char"/>
    <w:qFormat/>
    <w:uiPriority w:val="0"/>
    <w:rPr>
      <w:rFonts w:ascii="宋体" w:hAnsi="宋体"/>
    </w:rPr>
  </w:style>
  <w:style w:type="character" w:customStyle="1" w:styleId="186">
    <w:name w:val="正文缩进 Char"/>
    <w:qFormat/>
    <w:uiPriority w:val="0"/>
    <w:rPr>
      <w:rFonts w:ascii="Times New Roman" w:hAnsi="Times New Roman" w:eastAsia="宋体" w:cs="Times New Roman"/>
      <w:kern w:val="0"/>
      <w:sz w:val="20"/>
      <w:szCs w:val="20"/>
    </w:rPr>
  </w:style>
  <w:style w:type="character" w:customStyle="1" w:styleId="187">
    <w:name w:val="Char Char17"/>
    <w:qFormat/>
    <w:uiPriority w:val="0"/>
    <w:rPr>
      <w:rFonts w:ascii="Arial" w:hAnsi="Arial" w:eastAsia="黑体"/>
      <w:b/>
      <w:kern w:val="2"/>
      <w:sz w:val="32"/>
      <w:lang w:val="en-US" w:eastAsia="zh-CN"/>
    </w:rPr>
  </w:style>
  <w:style w:type="character" w:customStyle="1" w:styleId="188">
    <w:name w:val="不明显参考1"/>
    <w:qFormat/>
    <w:uiPriority w:val="0"/>
    <w:rPr>
      <w:smallCaps/>
      <w:color w:val="AC66BB"/>
    </w:rPr>
  </w:style>
  <w:style w:type="character" w:customStyle="1" w:styleId="189">
    <w:name w:val="正文文本 Char"/>
    <w:qFormat/>
    <w:uiPriority w:val="0"/>
    <w:rPr>
      <w:rFonts w:ascii="Times New Roman" w:hAnsi="Times New Roman" w:eastAsia="宋体" w:cs="Times New Roman"/>
      <w:szCs w:val="20"/>
    </w:rPr>
  </w:style>
  <w:style w:type="character" w:customStyle="1" w:styleId="190">
    <w:name w:val="Char Char10"/>
    <w:qFormat/>
    <w:uiPriority w:val="0"/>
    <w:rPr>
      <w:rFonts w:eastAsia="宋体"/>
      <w:kern w:val="2"/>
      <w:sz w:val="18"/>
      <w:lang w:val="en-US" w:eastAsia="zh-CN"/>
    </w:rPr>
  </w:style>
  <w:style w:type="character" w:customStyle="1" w:styleId="191">
    <w:name w:val="批注主题 Char2"/>
    <w:link w:val="26"/>
    <w:semiHidden/>
    <w:qFormat/>
    <w:uiPriority w:val="99"/>
    <w:rPr>
      <w:b/>
      <w:bCs/>
      <w:kern w:val="2"/>
      <w:sz w:val="21"/>
    </w:rPr>
  </w:style>
  <w:style w:type="character" w:customStyle="1" w:styleId="192">
    <w:name w:val="Highlighted Variable"/>
    <w:qFormat/>
    <w:uiPriority w:val="0"/>
    <w:rPr>
      <w:color w:val="0000FF"/>
      <w:sz w:val="21"/>
    </w:rPr>
  </w:style>
  <w:style w:type="character" w:customStyle="1" w:styleId="193">
    <w:name w:val="ListLabel 4"/>
    <w:qFormat/>
    <w:uiPriority w:val="0"/>
    <w:rPr>
      <w:rFonts w:cs="Times New Roman"/>
    </w:rPr>
  </w:style>
  <w:style w:type="character" w:customStyle="1" w:styleId="194">
    <w:name w:val="Char Char9"/>
    <w:qFormat/>
    <w:uiPriority w:val="0"/>
    <w:rPr>
      <w:rFonts w:ascii="宋体" w:hAnsi="宋体" w:eastAsia="宋体"/>
      <w:kern w:val="2"/>
      <w:sz w:val="21"/>
    </w:rPr>
  </w:style>
  <w:style w:type="character" w:customStyle="1" w:styleId="195">
    <w:name w:val="ListLabel 10"/>
    <w:qFormat/>
    <w:uiPriority w:val="0"/>
    <w:rPr>
      <w:b/>
      <w:bCs/>
      <w:sz w:val="24"/>
      <w:szCs w:val="24"/>
    </w:rPr>
  </w:style>
  <w:style w:type="character" w:customStyle="1" w:styleId="196">
    <w:name w:val="纯文本 Char3"/>
    <w:link w:val="16"/>
    <w:semiHidden/>
    <w:qFormat/>
    <w:uiPriority w:val="99"/>
    <w:rPr>
      <w:rFonts w:ascii="宋体" w:hAnsi="Courier New" w:cs="Courier New"/>
      <w:kern w:val="2"/>
      <w:sz w:val="21"/>
      <w:szCs w:val="21"/>
    </w:rPr>
  </w:style>
  <w:style w:type="character" w:customStyle="1" w:styleId="197">
    <w:name w:val="Char Char4"/>
    <w:qFormat/>
    <w:uiPriority w:val="0"/>
    <w:rPr>
      <w:rFonts w:ascii="宋体" w:hAnsi="宋体" w:eastAsia="宋体"/>
      <w:sz w:val="21"/>
      <w:lang w:val="en-US" w:eastAsia="zh-CN"/>
    </w:rPr>
  </w:style>
  <w:style w:type="character" w:customStyle="1" w:styleId="198">
    <w:name w:val="文档结构图 Char"/>
    <w:qFormat/>
    <w:uiPriority w:val="0"/>
    <w:rPr>
      <w:rFonts w:ascii="宋体" w:hAnsi="宋体" w:eastAsia="宋体" w:cs="Times New Roman"/>
      <w:sz w:val="18"/>
      <w:szCs w:val="18"/>
    </w:rPr>
  </w:style>
  <w:style w:type="character" w:customStyle="1" w:styleId="199">
    <w:name w:val="批注文字 Char2"/>
    <w:qFormat/>
    <w:uiPriority w:val="0"/>
    <w:rPr>
      <w:rFonts w:eastAsia="宋体"/>
      <w:kern w:val="2"/>
      <w:sz w:val="21"/>
      <w:lang w:val="en-US" w:eastAsia="zh-CN"/>
    </w:rPr>
  </w:style>
  <w:style w:type="character" w:customStyle="1" w:styleId="200">
    <w:name w:val="批注引用1"/>
    <w:qFormat/>
    <w:uiPriority w:val="0"/>
    <w:rPr>
      <w:rFonts w:ascii="Times New Roman" w:hAnsi="Times New Roman"/>
      <w:sz w:val="21"/>
    </w:rPr>
  </w:style>
  <w:style w:type="character" w:customStyle="1" w:styleId="201">
    <w:name w:val="Char Char1"/>
    <w:qFormat/>
    <w:uiPriority w:val="0"/>
    <w:rPr>
      <w:rFonts w:ascii="Times New Roman" w:hAnsi="Times New Roman" w:eastAsia="仿宋_GB2312"/>
      <w:sz w:val="28"/>
    </w:rPr>
  </w:style>
  <w:style w:type="character" w:customStyle="1" w:styleId="202">
    <w:name w:val="正文-表格 Char Char"/>
    <w:qFormat/>
    <w:uiPriority w:val="0"/>
    <w:rPr>
      <w:rFonts w:ascii="宋体" w:hAnsi="宋体" w:eastAsia="宋体" w:cs="Times New Roman"/>
      <w:kern w:val="0"/>
      <w:sz w:val="20"/>
      <w:szCs w:val="20"/>
    </w:rPr>
  </w:style>
  <w:style w:type="character" w:customStyle="1" w:styleId="203">
    <w:name w:val="ListLabel 7"/>
    <w:qFormat/>
    <w:uiPriority w:val="0"/>
    <w:rPr>
      <w:rFonts w:cs="Times New Roman"/>
    </w:rPr>
  </w:style>
  <w:style w:type="character" w:customStyle="1" w:styleId="204">
    <w:name w:val="纯文本 Char Char"/>
    <w:qFormat/>
    <w:uiPriority w:val="0"/>
    <w:rPr>
      <w:rFonts w:ascii="宋体" w:hAnsi="宋体" w:eastAsia="宋体"/>
      <w:sz w:val="21"/>
      <w:lang w:val="en-US" w:eastAsia="zh-CN"/>
    </w:rPr>
  </w:style>
  <w:style w:type="character" w:customStyle="1" w:styleId="205">
    <w:name w:val="ListLabel 6"/>
    <w:qFormat/>
    <w:uiPriority w:val="0"/>
    <w:rPr>
      <w:rFonts w:cs="Times New Roman"/>
    </w:rPr>
  </w:style>
  <w:style w:type="character" w:customStyle="1" w:styleId="206">
    <w:name w:val="批注文字 Char3"/>
    <w:qFormat/>
    <w:uiPriority w:val="0"/>
    <w:rPr>
      <w:rFonts w:ascii="Times New Roman" w:hAnsi="Times New Roman" w:eastAsia="宋体" w:cs="Times New Roman"/>
      <w:szCs w:val="20"/>
    </w:rPr>
  </w:style>
  <w:style w:type="character" w:customStyle="1" w:styleId="207">
    <w:name w:val="纯文本 Char1"/>
    <w:qFormat/>
    <w:uiPriority w:val="0"/>
    <w:rPr>
      <w:rFonts w:ascii="楷体_GB2312" w:hAnsi="楷体_GB2312" w:eastAsia="楷体_GB2312" w:cs="Times New Roman"/>
      <w:sz w:val="28"/>
      <w:szCs w:val="28"/>
    </w:rPr>
  </w:style>
  <w:style w:type="character" w:customStyle="1" w:styleId="208">
    <w:name w:val="页眉 Char"/>
    <w:qFormat/>
    <w:uiPriority w:val="0"/>
    <w:rPr>
      <w:rFonts w:ascii="Times New Roman" w:hAnsi="Times New Roman" w:eastAsia="宋体" w:cs="Times New Roman"/>
      <w:sz w:val="18"/>
      <w:szCs w:val="18"/>
    </w:rPr>
  </w:style>
  <w:style w:type="character" w:customStyle="1" w:styleId="209">
    <w:name w:val="页码11"/>
    <w:basedOn w:val="210"/>
    <w:qFormat/>
    <w:uiPriority w:val="0"/>
  </w:style>
  <w:style w:type="character" w:customStyle="1" w:styleId="210">
    <w:name w:val="默认段落字体1"/>
    <w:qFormat/>
    <w:uiPriority w:val="0"/>
  </w:style>
  <w:style w:type="character" w:customStyle="1" w:styleId="211">
    <w:name w:val="页码1"/>
    <w:basedOn w:val="210"/>
    <w:qFormat/>
    <w:uiPriority w:val="0"/>
  </w:style>
  <w:style w:type="character" w:customStyle="1" w:styleId="212">
    <w:name w:val="批注主题 Char1"/>
    <w:qFormat/>
    <w:uiPriority w:val="0"/>
    <w:rPr>
      <w:rFonts w:ascii="楷体_GB2312" w:hAnsi="楷体_GB2312" w:eastAsia="楷体_GB2312" w:cs="Times New Roman"/>
      <w:b/>
      <w:bCs/>
      <w:kern w:val="0"/>
      <w:sz w:val="32"/>
      <w:szCs w:val="32"/>
    </w:rPr>
  </w:style>
  <w:style w:type="character" w:customStyle="1" w:styleId="213">
    <w:name w:val="ListLabel 5"/>
    <w:qFormat/>
    <w:uiPriority w:val="0"/>
    <w:rPr>
      <w:rFonts w:cs="Times New Roman"/>
    </w:rPr>
  </w:style>
  <w:style w:type="character" w:customStyle="1" w:styleId="214">
    <w:name w:val="正文文本缩进 2 Char Char"/>
    <w:qFormat/>
    <w:uiPriority w:val="0"/>
    <w:rPr>
      <w:rFonts w:ascii="Calibri" w:hAnsi="Calibri" w:eastAsia="宋体" w:cs="黑体"/>
    </w:rPr>
  </w:style>
  <w:style w:type="character" w:customStyle="1" w:styleId="215">
    <w:name w:val="批注框文本 Char2"/>
    <w:link w:val="18"/>
    <w:semiHidden/>
    <w:qFormat/>
    <w:uiPriority w:val="99"/>
    <w:rPr>
      <w:rFonts w:eastAsia="宋体"/>
      <w:kern w:val="2"/>
      <w:sz w:val="18"/>
      <w:szCs w:val="18"/>
    </w:rPr>
  </w:style>
  <w:style w:type="character" w:customStyle="1" w:styleId="216">
    <w:name w:val="正文文本 Char1"/>
    <w:qFormat/>
    <w:uiPriority w:val="0"/>
    <w:rPr>
      <w:rFonts w:ascii="Arial" w:hAnsi="Arial" w:eastAsia="宋体" w:cs="Times New Roman"/>
      <w:b/>
      <w:kern w:val="0"/>
      <w:sz w:val="28"/>
      <w:szCs w:val="20"/>
    </w:rPr>
  </w:style>
  <w:style w:type="character" w:customStyle="1" w:styleId="217">
    <w:name w:val="正文文本缩进 2 Char"/>
    <w:qFormat/>
    <w:uiPriority w:val="0"/>
    <w:rPr>
      <w:rFonts w:ascii="Times New Roman" w:hAnsi="Times New Roman" w:eastAsia="宋体" w:cs="Times New Roman"/>
      <w:kern w:val="0"/>
      <w:sz w:val="20"/>
      <w:szCs w:val="20"/>
    </w:rPr>
  </w:style>
  <w:style w:type="character" w:customStyle="1" w:styleId="218">
    <w:name w:val="ListLabel 11"/>
    <w:qFormat/>
    <w:uiPriority w:val="0"/>
    <w:rPr>
      <w:sz w:val="24"/>
      <w:szCs w:val="24"/>
    </w:rPr>
  </w:style>
  <w:style w:type="character" w:customStyle="1" w:styleId="219">
    <w:name w:val="文档结构图 Char1"/>
    <w:qFormat/>
    <w:uiPriority w:val="0"/>
    <w:rPr>
      <w:rFonts w:ascii="楷体_GB2312" w:hAnsi="楷体_GB2312" w:eastAsia="楷体_GB2312" w:cs="Times New Roman"/>
      <w:kern w:val="0"/>
      <w:sz w:val="32"/>
      <w:szCs w:val="32"/>
      <w:shd w:val="clear" w:color="auto" w:fill="000080"/>
    </w:rPr>
  </w:style>
  <w:style w:type="character" w:customStyle="1" w:styleId="220">
    <w:name w:val="批注引用2"/>
    <w:qFormat/>
    <w:uiPriority w:val="0"/>
    <w:rPr>
      <w:sz w:val="21"/>
      <w:szCs w:val="21"/>
    </w:rPr>
  </w:style>
  <w:style w:type="character" w:customStyle="1" w:styleId="221">
    <w:name w:val="批注主题 Char"/>
    <w:qFormat/>
    <w:uiPriority w:val="0"/>
    <w:rPr>
      <w:rFonts w:ascii="Times New Roman" w:hAnsi="Times New Roman" w:eastAsia="宋体" w:cs="Times New Roman"/>
      <w:b/>
      <w:bCs/>
      <w:szCs w:val="20"/>
    </w:rPr>
  </w:style>
  <w:style w:type="character" w:customStyle="1" w:styleId="222">
    <w:name w:val="标题 1 Char"/>
    <w:qFormat/>
    <w:uiPriority w:val="0"/>
    <w:rPr>
      <w:rFonts w:ascii="Times New Roman" w:hAnsi="Times New Roman" w:eastAsia="宋体" w:cs="Times New Roman"/>
      <w:b/>
      <w:kern w:val="2"/>
      <w:sz w:val="44"/>
      <w:szCs w:val="20"/>
    </w:rPr>
  </w:style>
  <w:style w:type="character" w:customStyle="1" w:styleId="223">
    <w:name w:val="中等深浅网格 2 字符"/>
    <w:qFormat/>
    <w:uiPriority w:val="0"/>
    <w:rPr>
      <w:rFonts w:ascii="Calibri" w:hAnsi="Calibri" w:eastAsia="宋体" w:cs="Times New Roman"/>
      <w:kern w:val="0"/>
      <w:sz w:val="22"/>
      <w:szCs w:val="20"/>
    </w:rPr>
  </w:style>
  <w:style w:type="character" w:customStyle="1" w:styleId="224">
    <w:name w:val="h2 Char"/>
    <w:qFormat/>
    <w:uiPriority w:val="0"/>
    <w:rPr>
      <w:rFonts w:ascii="宋体" w:hAnsi="宋体"/>
      <w:b/>
    </w:rPr>
  </w:style>
  <w:style w:type="character" w:customStyle="1" w:styleId="225">
    <w:name w:val="页码12"/>
    <w:basedOn w:val="210"/>
    <w:qFormat/>
    <w:uiPriority w:val="0"/>
  </w:style>
  <w:style w:type="character" w:customStyle="1" w:styleId="226">
    <w:name w:val="页脚 Char"/>
    <w:qFormat/>
    <w:uiPriority w:val="99"/>
    <w:rPr>
      <w:rFonts w:ascii="Times New Roman" w:hAnsi="Times New Roman" w:eastAsia="宋体" w:cs="Times New Roman"/>
      <w:sz w:val="18"/>
      <w:szCs w:val="18"/>
    </w:rPr>
  </w:style>
  <w:style w:type="character" w:customStyle="1" w:styleId="227">
    <w:name w:val="方案正文 Char Char"/>
    <w:qFormat/>
    <w:uiPriority w:val="0"/>
    <w:rPr>
      <w:rFonts w:ascii="Arial" w:hAnsi="Arial" w:eastAsia="宋体" w:cs="Times New Roman"/>
      <w:kern w:val="0"/>
      <w:sz w:val="24"/>
      <w:szCs w:val="20"/>
    </w:rPr>
  </w:style>
  <w:style w:type="character" w:customStyle="1" w:styleId="228">
    <w:name w:val="要点1"/>
    <w:qFormat/>
    <w:uiPriority w:val="0"/>
    <w:rPr>
      <w:b/>
    </w:rPr>
  </w:style>
  <w:style w:type="character" w:customStyle="1" w:styleId="229">
    <w:name w:val="ListLabel 8"/>
    <w:qFormat/>
    <w:uiPriority w:val="0"/>
    <w:rPr>
      <w:rFonts w:cs="Times New Roman"/>
    </w:rPr>
  </w:style>
  <w:style w:type="character" w:customStyle="1" w:styleId="230">
    <w:name w:val="Char Char5"/>
    <w:qFormat/>
    <w:uiPriority w:val="0"/>
    <w:rPr>
      <w:kern w:val="2"/>
      <w:sz w:val="18"/>
    </w:rPr>
  </w:style>
  <w:style w:type="character" w:customStyle="1" w:styleId="231">
    <w:name w:val="Char Char3"/>
    <w:qFormat/>
    <w:uiPriority w:val="0"/>
    <w:rPr>
      <w:rFonts w:ascii="宋体" w:hAnsi="宋体" w:eastAsia="宋体"/>
      <w:kern w:val="2"/>
      <w:sz w:val="18"/>
      <w:lang w:val="en-US" w:eastAsia="zh-CN"/>
    </w:rPr>
  </w:style>
  <w:style w:type="character" w:customStyle="1" w:styleId="232">
    <w:name w:val="Char Char11"/>
    <w:qFormat/>
    <w:uiPriority w:val="0"/>
    <w:rPr>
      <w:rFonts w:eastAsia="宋体"/>
      <w:kern w:val="2"/>
      <w:sz w:val="21"/>
      <w:lang w:val="en-US" w:eastAsia="zh-CN"/>
    </w:rPr>
  </w:style>
  <w:style w:type="character" w:customStyle="1" w:styleId="233">
    <w:name w:val="Char Char2"/>
    <w:qFormat/>
    <w:uiPriority w:val="0"/>
    <w:rPr>
      <w:rFonts w:eastAsia="宋体"/>
      <w:kern w:val="2"/>
      <w:sz w:val="21"/>
      <w:lang w:val="en-US" w:eastAsia="zh-CN"/>
    </w:rPr>
  </w:style>
  <w:style w:type="character" w:customStyle="1" w:styleId="234">
    <w:name w:val="font11"/>
    <w:qFormat/>
    <w:uiPriority w:val="0"/>
    <w:rPr>
      <w:rFonts w:ascii="Times New Roman" w:hAnsi="Times New Roman"/>
      <w:color w:val="000000"/>
      <w:sz w:val="24"/>
      <w:u w:val="none"/>
    </w:rPr>
  </w:style>
  <w:style w:type="character" w:customStyle="1" w:styleId="235">
    <w:name w:val="Char Char13"/>
    <w:qFormat/>
    <w:uiPriority w:val="0"/>
    <w:rPr>
      <w:rFonts w:ascii="Arial" w:hAnsi="Arial" w:eastAsia="黑体"/>
      <w:b/>
      <w:kern w:val="2"/>
      <w:sz w:val="28"/>
      <w:lang w:val="en-US" w:eastAsia="zh-CN"/>
    </w:rPr>
  </w:style>
  <w:style w:type="character" w:customStyle="1" w:styleId="236">
    <w:name w:val="标题 5 Char"/>
    <w:qFormat/>
    <w:uiPriority w:val="0"/>
    <w:rPr>
      <w:rFonts w:ascii="Times New Roman" w:hAnsi="Times New Roman" w:eastAsia="宋体" w:cs="Times New Roman"/>
      <w:b/>
      <w:sz w:val="28"/>
      <w:szCs w:val="20"/>
    </w:rPr>
  </w:style>
  <w:style w:type="character" w:customStyle="1" w:styleId="237">
    <w:name w:val="Char Char28"/>
    <w:qFormat/>
    <w:uiPriority w:val="0"/>
    <w:rPr>
      <w:rFonts w:eastAsia="宋体"/>
      <w:b/>
      <w:kern w:val="2"/>
      <w:sz w:val="44"/>
      <w:lang w:val="en-US" w:eastAsia="zh-CN"/>
    </w:rPr>
  </w:style>
  <w:style w:type="character" w:customStyle="1" w:styleId="238">
    <w:name w:val="H3 Char3"/>
    <w:qFormat/>
    <w:uiPriority w:val="0"/>
    <w:rPr>
      <w:rFonts w:ascii="宋体" w:hAnsi="宋体"/>
      <w:sz w:val="24"/>
    </w:rPr>
  </w:style>
  <w:style w:type="character" w:customStyle="1" w:styleId="239">
    <w:name w:val="标题 6 Char"/>
    <w:qFormat/>
    <w:uiPriority w:val="0"/>
    <w:rPr>
      <w:rFonts w:ascii="宋体" w:hAnsi="宋体" w:eastAsia="宋体" w:cs="Times New Roman"/>
      <w:i/>
      <w:kern w:val="0"/>
      <w:sz w:val="22"/>
      <w:szCs w:val="20"/>
    </w:rPr>
  </w:style>
  <w:style w:type="character" w:customStyle="1" w:styleId="240">
    <w:name w:val="Char Char20"/>
    <w:qFormat/>
    <w:uiPriority w:val="0"/>
    <w:rPr>
      <w:rFonts w:ascii="宋体" w:hAnsi="宋体" w:eastAsia="宋体"/>
      <w:kern w:val="0"/>
      <w:sz w:val="20"/>
    </w:rPr>
  </w:style>
  <w:style w:type="character" w:customStyle="1" w:styleId="241">
    <w:name w:val="标题 1 Char1"/>
    <w:basedOn w:val="30"/>
    <w:link w:val="4"/>
    <w:qFormat/>
    <w:uiPriority w:val="0"/>
    <w:rPr>
      <w:b/>
      <w:kern w:val="2"/>
      <w:sz w:val="44"/>
    </w:rPr>
  </w:style>
  <w:style w:type="character" w:customStyle="1" w:styleId="242">
    <w:name w:val="正文文本 Char2"/>
    <w:basedOn w:val="30"/>
    <w:link w:val="3"/>
    <w:qFormat/>
    <w:uiPriority w:val="0"/>
    <w:rPr>
      <w:rFonts w:ascii="Arial" w:hAnsi="Arial"/>
      <w:b/>
      <w:sz w:val="28"/>
    </w:rPr>
  </w:style>
  <w:style w:type="character" w:customStyle="1" w:styleId="243">
    <w:name w:val="font51"/>
    <w:qFormat/>
    <w:uiPriority w:val="0"/>
    <w:rPr>
      <w:rFonts w:hint="eastAsia" w:ascii="宋体" w:hAnsi="宋体" w:eastAsia="宋体" w:cs="宋体"/>
      <w:color w:val="000000"/>
      <w:sz w:val="22"/>
      <w:szCs w:val="22"/>
      <w:u w:val="none"/>
    </w:rPr>
  </w:style>
  <w:style w:type="character" w:customStyle="1" w:styleId="244">
    <w:name w:val="页码2"/>
    <w:basedOn w:val="30"/>
    <w:qFormat/>
    <w:uiPriority w:val="0"/>
  </w:style>
  <w:style w:type="paragraph" w:customStyle="1" w:styleId="245">
    <w:name w:val="列表段落11"/>
    <w:basedOn w:val="1"/>
    <w:qFormat/>
    <w:uiPriority w:val="0"/>
    <w:pPr>
      <w:ind w:firstLine="420" w:firstLineChars="200"/>
    </w:pPr>
    <w:rPr>
      <w:szCs w:val="21"/>
    </w:rPr>
  </w:style>
  <w:style w:type="paragraph" w:styleId="24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icbc</Company>
  <Pages>42</Pages>
  <Words>18365</Words>
  <Characters>20782</Characters>
  <Lines>172</Lines>
  <Paragraphs>48</Paragraphs>
  <TotalTime>1</TotalTime>
  <ScaleCrop>false</ScaleCrop>
  <LinksUpToDate>false</LinksUpToDate>
  <CharactersWithSpaces>21699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2022-12-27T08:15:00Z</dcterms:created>
  <dc:creator>PC</dc:creator>
  <cp:lastModifiedBy>37362</cp:lastModifiedBy>
  <cp:lastPrinted>2023-03-10T05:39:00Z</cp:lastPrinted>
  <dcterms:modified xsi:type="dcterms:W3CDTF">2023-09-03T14:46:45Z</dcterms:modified>
  <dc:title>财政部业务专网和外网安全设备维保服务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r8>0</vt:r8>
  </property>
  <property fmtid="{D5CDD505-2E9C-101B-9397-08002B2CF9AE}" pid="3" name="KSOProductBuildVer">
    <vt:lpwstr>2052-11.1.0.14309</vt:lpwstr>
  </property>
  <property fmtid="{D5CDD505-2E9C-101B-9397-08002B2CF9AE}" pid="4" name="LinksUpToDate">
    <vt:bool>false</vt:bool>
  </property>
  <property fmtid="{D5CDD505-2E9C-101B-9397-08002B2CF9AE}" pid="5" name="ScaleCrop">
    <vt:bool>false</vt:bool>
  </property>
  <property fmtid="{D5CDD505-2E9C-101B-9397-08002B2CF9AE}" pid="6" name="ICV">
    <vt:lpwstr>9FDF7FD6AA354A09898365BFB6F4C872</vt:lpwstr>
  </property>
</Properties>
</file>